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598" w:rsidRPr="00186F9F" w:rsidRDefault="00C52598" w:rsidP="00C52598">
      <w:pPr>
        <w:spacing w:after="160" w:line="259" w:lineRule="auto"/>
        <w:rPr>
          <w:sz w:val="24"/>
          <w:szCs w:val="24"/>
        </w:rPr>
      </w:pPr>
      <w:r w:rsidRPr="00186F9F">
        <w:rPr>
          <w:sz w:val="24"/>
          <w:szCs w:val="24"/>
        </w:rPr>
        <w:t>In a diabetes study, several traits and information were collected, including (see data in the attached file “diabetes_study.txt”):</w:t>
      </w:r>
    </w:p>
    <w:p w:rsidR="00C52598" w:rsidRPr="00186F9F" w:rsidRDefault="00C52598" w:rsidP="00C52598">
      <w:pPr>
        <w:ind w:firstLine="720"/>
        <w:rPr>
          <w:sz w:val="24"/>
          <w:szCs w:val="24"/>
        </w:rPr>
      </w:pPr>
      <w:r w:rsidRPr="00186F9F">
        <w:rPr>
          <w:sz w:val="24"/>
          <w:szCs w:val="24"/>
        </w:rPr>
        <w:t>Sex: male/female</w:t>
      </w:r>
    </w:p>
    <w:p w:rsidR="00C52598" w:rsidRPr="00186F9F" w:rsidRDefault="00C52598" w:rsidP="00C52598">
      <w:pPr>
        <w:ind w:firstLine="720"/>
        <w:rPr>
          <w:sz w:val="24"/>
          <w:szCs w:val="24"/>
        </w:rPr>
      </w:pPr>
      <w:r w:rsidRPr="00186F9F">
        <w:rPr>
          <w:sz w:val="24"/>
          <w:szCs w:val="24"/>
        </w:rPr>
        <w:t>Age: age of the study subject</w:t>
      </w:r>
    </w:p>
    <w:p w:rsidR="00C52598" w:rsidRPr="00186F9F" w:rsidRDefault="00C52598" w:rsidP="00C52598">
      <w:pPr>
        <w:ind w:firstLine="720"/>
        <w:rPr>
          <w:sz w:val="24"/>
          <w:szCs w:val="24"/>
        </w:rPr>
      </w:pPr>
      <w:proofErr w:type="spellStart"/>
      <w:r w:rsidRPr="00186F9F">
        <w:rPr>
          <w:sz w:val="24"/>
          <w:szCs w:val="24"/>
        </w:rPr>
        <w:t>bmi</w:t>
      </w:r>
      <w:proofErr w:type="spellEnd"/>
      <w:r w:rsidRPr="00186F9F">
        <w:rPr>
          <w:sz w:val="24"/>
          <w:szCs w:val="24"/>
        </w:rPr>
        <w:t>: body mass index</w:t>
      </w:r>
    </w:p>
    <w:p w:rsidR="00C52598" w:rsidRPr="00186F9F" w:rsidRDefault="00C52598" w:rsidP="00C52598">
      <w:pPr>
        <w:ind w:firstLine="720"/>
        <w:rPr>
          <w:sz w:val="24"/>
          <w:szCs w:val="24"/>
        </w:rPr>
      </w:pPr>
      <w:proofErr w:type="spellStart"/>
      <w:r w:rsidRPr="00186F9F">
        <w:rPr>
          <w:sz w:val="24"/>
          <w:szCs w:val="24"/>
        </w:rPr>
        <w:t>fbg</w:t>
      </w:r>
      <w:proofErr w:type="spellEnd"/>
      <w:r w:rsidRPr="00186F9F">
        <w:rPr>
          <w:sz w:val="24"/>
          <w:szCs w:val="24"/>
        </w:rPr>
        <w:t>: fasting blood glucose</w:t>
      </w:r>
    </w:p>
    <w:p w:rsidR="00C52598" w:rsidRPr="00186F9F" w:rsidRDefault="00C52598" w:rsidP="00C52598">
      <w:pPr>
        <w:ind w:firstLine="720"/>
        <w:rPr>
          <w:sz w:val="24"/>
          <w:szCs w:val="24"/>
        </w:rPr>
      </w:pPr>
      <w:r w:rsidRPr="00186F9F">
        <w:rPr>
          <w:sz w:val="24"/>
          <w:szCs w:val="24"/>
        </w:rPr>
        <w:t>fins: fasting insulin</w:t>
      </w:r>
    </w:p>
    <w:p w:rsidR="00C52598" w:rsidRPr="00186F9F" w:rsidRDefault="00C52598" w:rsidP="00C52598">
      <w:pPr>
        <w:ind w:firstLine="720"/>
        <w:rPr>
          <w:sz w:val="24"/>
          <w:szCs w:val="24"/>
        </w:rPr>
      </w:pPr>
      <w:r w:rsidRPr="00186F9F">
        <w:rPr>
          <w:sz w:val="24"/>
          <w:szCs w:val="24"/>
        </w:rPr>
        <w:t>hba1c: hemoglobin A1c</w:t>
      </w:r>
    </w:p>
    <w:p w:rsidR="00C52598" w:rsidRPr="00186F9F" w:rsidRDefault="00C52598" w:rsidP="00C52598">
      <w:pPr>
        <w:ind w:firstLine="720"/>
        <w:rPr>
          <w:sz w:val="24"/>
          <w:szCs w:val="24"/>
        </w:rPr>
      </w:pPr>
      <w:proofErr w:type="spellStart"/>
      <w:r w:rsidRPr="00186F9F">
        <w:rPr>
          <w:sz w:val="24"/>
          <w:szCs w:val="24"/>
        </w:rPr>
        <w:t>tg</w:t>
      </w:r>
      <w:proofErr w:type="spellEnd"/>
      <w:r w:rsidRPr="00186F9F">
        <w:rPr>
          <w:sz w:val="24"/>
          <w:szCs w:val="24"/>
        </w:rPr>
        <w:t>: total glyceride</w:t>
      </w:r>
    </w:p>
    <w:p w:rsidR="00C52598" w:rsidRPr="00186F9F" w:rsidRDefault="00C52598" w:rsidP="00C52598">
      <w:pPr>
        <w:ind w:firstLine="720"/>
        <w:rPr>
          <w:sz w:val="24"/>
          <w:szCs w:val="24"/>
        </w:rPr>
      </w:pPr>
      <w:proofErr w:type="spellStart"/>
      <w:r w:rsidRPr="00186F9F">
        <w:rPr>
          <w:sz w:val="24"/>
          <w:szCs w:val="24"/>
        </w:rPr>
        <w:t>tcho</w:t>
      </w:r>
      <w:proofErr w:type="spellEnd"/>
      <w:r w:rsidRPr="00186F9F">
        <w:rPr>
          <w:sz w:val="24"/>
          <w:szCs w:val="24"/>
        </w:rPr>
        <w:t>: total cholesterol</w:t>
      </w:r>
    </w:p>
    <w:p w:rsidR="00C52598" w:rsidRPr="00186F9F" w:rsidRDefault="00C52598" w:rsidP="00C52598">
      <w:pPr>
        <w:ind w:firstLine="720"/>
        <w:rPr>
          <w:sz w:val="24"/>
          <w:szCs w:val="24"/>
        </w:rPr>
      </w:pPr>
      <w:proofErr w:type="spellStart"/>
      <w:r w:rsidRPr="00186F9F">
        <w:rPr>
          <w:sz w:val="24"/>
          <w:szCs w:val="24"/>
        </w:rPr>
        <w:t>hdl</w:t>
      </w:r>
      <w:proofErr w:type="spellEnd"/>
      <w:r w:rsidRPr="00186F9F">
        <w:rPr>
          <w:sz w:val="24"/>
          <w:szCs w:val="24"/>
        </w:rPr>
        <w:t>: high density lipoprotein</w:t>
      </w:r>
    </w:p>
    <w:p w:rsidR="00C52598" w:rsidRPr="00186F9F" w:rsidRDefault="00C52598" w:rsidP="00C52598">
      <w:pPr>
        <w:ind w:firstLine="720"/>
        <w:rPr>
          <w:sz w:val="24"/>
          <w:szCs w:val="24"/>
        </w:rPr>
      </w:pPr>
      <w:proofErr w:type="spellStart"/>
      <w:r w:rsidRPr="00186F9F">
        <w:rPr>
          <w:sz w:val="24"/>
          <w:szCs w:val="24"/>
        </w:rPr>
        <w:t>ldl</w:t>
      </w:r>
      <w:proofErr w:type="spellEnd"/>
      <w:r w:rsidRPr="00186F9F">
        <w:rPr>
          <w:sz w:val="24"/>
          <w:szCs w:val="24"/>
        </w:rPr>
        <w:t>: low density lipoprotein</w:t>
      </w:r>
    </w:p>
    <w:p w:rsidR="00C52598" w:rsidRPr="00186F9F" w:rsidRDefault="00C52598" w:rsidP="00C52598">
      <w:pPr>
        <w:ind w:firstLine="360"/>
        <w:rPr>
          <w:sz w:val="24"/>
          <w:szCs w:val="24"/>
        </w:rPr>
      </w:pPr>
    </w:p>
    <w:p w:rsidR="00C52598" w:rsidRPr="00186F9F" w:rsidRDefault="00C52598" w:rsidP="00C52598">
      <w:pPr>
        <w:ind w:firstLine="360"/>
        <w:rPr>
          <w:sz w:val="24"/>
          <w:szCs w:val="24"/>
        </w:rPr>
      </w:pPr>
      <w:r w:rsidRPr="00186F9F">
        <w:rPr>
          <w:sz w:val="24"/>
          <w:szCs w:val="24"/>
        </w:rPr>
        <w:t xml:space="preserve">The investigators are interested in the effects of different factors on hba1c. You, as a biostatistician, is helping in the data analysis. Based on prior knowledge, the focus will be put on </w:t>
      </w:r>
      <w:proofErr w:type="spellStart"/>
      <w:r w:rsidRPr="00186F9F">
        <w:rPr>
          <w:sz w:val="24"/>
          <w:szCs w:val="24"/>
        </w:rPr>
        <w:t>fbg</w:t>
      </w:r>
      <w:proofErr w:type="spellEnd"/>
      <w:r w:rsidRPr="00186F9F">
        <w:rPr>
          <w:sz w:val="24"/>
          <w:szCs w:val="24"/>
        </w:rPr>
        <w:t xml:space="preserve">, </w:t>
      </w:r>
      <w:proofErr w:type="spellStart"/>
      <w:r w:rsidRPr="00186F9F">
        <w:rPr>
          <w:sz w:val="24"/>
          <w:szCs w:val="24"/>
        </w:rPr>
        <w:t>tg</w:t>
      </w:r>
      <w:proofErr w:type="spellEnd"/>
      <w:r w:rsidRPr="00186F9F">
        <w:rPr>
          <w:sz w:val="24"/>
          <w:szCs w:val="24"/>
        </w:rPr>
        <w:t xml:space="preserve">, fins, and </w:t>
      </w:r>
      <w:proofErr w:type="spellStart"/>
      <w:r w:rsidRPr="00186F9F">
        <w:rPr>
          <w:sz w:val="24"/>
          <w:szCs w:val="24"/>
        </w:rPr>
        <w:t>bmi</w:t>
      </w:r>
      <w:proofErr w:type="spellEnd"/>
      <w:r w:rsidRPr="00186F9F">
        <w:rPr>
          <w:sz w:val="24"/>
          <w:szCs w:val="24"/>
        </w:rPr>
        <w:t>. For the following issues, please briefly summarize and report what you have done and what you have found out. Make sure that your report is not just a simple aggregate of software outputs!</w:t>
      </w:r>
    </w:p>
    <w:p w:rsidR="00C52598" w:rsidRDefault="00C52598" w:rsidP="00C52598">
      <w:pPr>
        <w:pStyle w:val="ListParagraph"/>
        <w:spacing w:after="160" w:line="259" w:lineRule="auto"/>
        <w:rPr>
          <w:sz w:val="24"/>
          <w:szCs w:val="24"/>
        </w:rPr>
      </w:pPr>
    </w:p>
    <w:p w:rsidR="00C52598" w:rsidRPr="00186F9F" w:rsidRDefault="00C52598" w:rsidP="00C52598">
      <w:pPr>
        <w:pStyle w:val="ListParagraph"/>
        <w:numPr>
          <w:ilvl w:val="0"/>
          <w:numId w:val="1"/>
        </w:numPr>
        <w:spacing w:after="160" w:line="259" w:lineRule="auto"/>
        <w:rPr>
          <w:sz w:val="24"/>
          <w:szCs w:val="24"/>
        </w:rPr>
      </w:pPr>
      <w:r w:rsidRPr="00186F9F">
        <w:rPr>
          <w:sz w:val="24"/>
          <w:szCs w:val="24"/>
        </w:rPr>
        <w:t>Using the data in their original scales, please find an appropriate regression model. The regression assumptions should be evaluated and considered by the fitted model if necessary.</w:t>
      </w:r>
    </w:p>
    <w:p w:rsidR="00C52598" w:rsidRDefault="00C52598" w:rsidP="00C52598">
      <w:pPr>
        <w:pStyle w:val="ListParagraph"/>
        <w:spacing w:after="160" w:line="259" w:lineRule="auto"/>
        <w:rPr>
          <w:sz w:val="24"/>
          <w:szCs w:val="24"/>
        </w:rPr>
      </w:pPr>
    </w:p>
    <w:p w:rsidR="00C52598" w:rsidRPr="00186F9F" w:rsidRDefault="00C52598" w:rsidP="00C52598">
      <w:pPr>
        <w:pStyle w:val="ListParagraph"/>
        <w:numPr>
          <w:ilvl w:val="0"/>
          <w:numId w:val="1"/>
        </w:numPr>
        <w:spacing w:after="160" w:line="259" w:lineRule="auto"/>
        <w:rPr>
          <w:sz w:val="24"/>
          <w:szCs w:val="24"/>
        </w:rPr>
      </w:pPr>
      <w:r w:rsidRPr="00186F9F">
        <w:rPr>
          <w:sz w:val="24"/>
          <w:szCs w:val="24"/>
        </w:rPr>
        <w:t>Conduct appropriate data transformation and find a corresponding fitted model.</w:t>
      </w:r>
    </w:p>
    <w:p w:rsidR="00C52598" w:rsidRDefault="00C52598" w:rsidP="00C52598">
      <w:pPr>
        <w:pStyle w:val="ListParagraph"/>
        <w:spacing w:after="160" w:line="259" w:lineRule="auto"/>
        <w:ind w:left="1080"/>
        <w:rPr>
          <w:sz w:val="24"/>
          <w:szCs w:val="24"/>
        </w:rPr>
      </w:pPr>
    </w:p>
    <w:p w:rsidR="00C52598" w:rsidRDefault="00C52598" w:rsidP="00C52598">
      <w:pPr>
        <w:pStyle w:val="ListParagraph"/>
        <w:numPr>
          <w:ilvl w:val="0"/>
          <w:numId w:val="1"/>
        </w:numPr>
        <w:spacing w:after="160" w:line="259" w:lineRule="auto"/>
        <w:rPr>
          <w:sz w:val="24"/>
          <w:szCs w:val="24"/>
        </w:rPr>
      </w:pPr>
      <w:r w:rsidRPr="00186F9F">
        <w:rPr>
          <w:sz w:val="24"/>
          <w:szCs w:val="24"/>
        </w:rPr>
        <w:t xml:space="preserve">Assess which of the two models established in </w:t>
      </w:r>
      <w:r w:rsidR="00EE6D7E">
        <w:rPr>
          <w:sz w:val="24"/>
          <w:szCs w:val="24"/>
        </w:rPr>
        <w:t>a</w:t>
      </w:r>
      <w:r w:rsidRPr="00186F9F">
        <w:rPr>
          <w:sz w:val="24"/>
          <w:szCs w:val="24"/>
        </w:rPr>
        <w:t xml:space="preserve"> and </w:t>
      </w:r>
      <w:r w:rsidR="00EE6D7E">
        <w:rPr>
          <w:sz w:val="24"/>
          <w:szCs w:val="24"/>
        </w:rPr>
        <w:t>b</w:t>
      </w:r>
      <w:r w:rsidRPr="00186F9F">
        <w:rPr>
          <w:sz w:val="24"/>
          <w:szCs w:val="24"/>
        </w:rPr>
        <w:t xml:space="preserve"> is more appropriate for the data. Provide a brief justification for your conclusion.</w:t>
      </w:r>
    </w:p>
    <w:p w:rsidR="00C52598" w:rsidRDefault="00C52598" w:rsidP="00C52598">
      <w:pPr>
        <w:spacing w:after="160" w:line="259" w:lineRule="auto"/>
      </w:pPr>
      <w:r>
        <w:br w:type="page"/>
      </w:r>
    </w:p>
    <w:p w:rsidR="00C52598" w:rsidRDefault="00C52598" w:rsidP="00C52598">
      <w:pPr>
        <w:pStyle w:val="ListParagraph"/>
        <w:numPr>
          <w:ilvl w:val="0"/>
          <w:numId w:val="2"/>
        </w:numPr>
        <w:ind w:left="426"/>
      </w:pPr>
      <w:r>
        <w:lastRenderedPageBreak/>
        <w:t>Data description</w:t>
      </w:r>
    </w:p>
    <w:p w:rsidR="00C52598" w:rsidRDefault="00C52598" w:rsidP="00C52598">
      <w:pPr>
        <w:pStyle w:val="ListParagraph"/>
        <w:ind w:left="426"/>
      </w:pPr>
    </w:p>
    <w:p w:rsidR="00DD7DCE" w:rsidRDefault="00DD7DCE" w:rsidP="00DD7DCE">
      <w:pPr>
        <w:ind w:left="426"/>
      </w:pPr>
      <w:r>
        <w:t xml:space="preserve">In the complete data set of 1,845 individuals, HBA1C and other 4 factors of focus do not follow the normal distribution (Figure 1). The </w:t>
      </w:r>
      <w:r w:rsidRPr="008E5E82">
        <w:t>Shapiro-Wilk normality test</w:t>
      </w:r>
      <w:r>
        <w:t xml:space="preserve"> </w:t>
      </w:r>
      <w:r w:rsidRPr="008E5E82">
        <w:t>p-value</w:t>
      </w:r>
      <w:r>
        <w:t xml:space="preserve"> for HBA1C and other 4 factors are all</w:t>
      </w:r>
      <w:r w:rsidRPr="008E5E82">
        <w:t xml:space="preserve"> &lt; 2.2e-16</w:t>
      </w:r>
      <w:r>
        <w:t>.</w:t>
      </w:r>
    </w:p>
    <w:p w:rsidR="00C52598" w:rsidRDefault="00C52598" w:rsidP="00C52598"/>
    <w:p w:rsidR="00C52598" w:rsidRDefault="00C52598" w:rsidP="00C52598">
      <w:pPr>
        <w:jc w:val="center"/>
      </w:pPr>
    </w:p>
    <w:p w:rsidR="00C52598" w:rsidRDefault="00C52598" w:rsidP="00C52598">
      <w:pPr>
        <w:jc w:val="center"/>
      </w:pPr>
      <w:r>
        <w:rPr>
          <w:noProof/>
          <w:lang w:eastAsia="zh-CN"/>
        </w:rPr>
        <w:drawing>
          <wp:inline distT="0" distB="0" distL="0" distR="0" wp14:anchorId="2A4479BD" wp14:editId="1FFF124B">
            <wp:extent cx="4181475" cy="3434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89184" cy="3441307"/>
                    </a:xfrm>
                    <a:prstGeom prst="rect">
                      <a:avLst/>
                    </a:prstGeom>
                  </pic:spPr>
                </pic:pic>
              </a:graphicData>
            </a:graphic>
          </wp:inline>
        </w:drawing>
      </w:r>
    </w:p>
    <w:p w:rsidR="00C52598" w:rsidRPr="00310402" w:rsidRDefault="00C52598" w:rsidP="00C52598">
      <w:pPr>
        <w:jc w:val="center"/>
        <w:rPr>
          <w:b/>
          <w:sz w:val="22"/>
        </w:rPr>
      </w:pPr>
      <w:r w:rsidRPr="00310402">
        <w:rPr>
          <w:b/>
          <w:sz w:val="22"/>
        </w:rPr>
        <w:t xml:space="preserve">Figure </w:t>
      </w:r>
      <w:r w:rsidR="00DD7DCE">
        <w:rPr>
          <w:b/>
          <w:sz w:val="22"/>
        </w:rPr>
        <w:t>1</w:t>
      </w:r>
      <w:r w:rsidRPr="00310402">
        <w:rPr>
          <w:b/>
          <w:sz w:val="22"/>
        </w:rPr>
        <w:t>. Histogram of FBG, BMI, TG and HBA1C</w:t>
      </w:r>
    </w:p>
    <w:p w:rsidR="00C52598" w:rsidRDefault="00C52598" w:rsidP="00C52598"/>
    <w:p w:rsidR="00C52598" w:rsidRDefault="00C52598" w:rsidP="00DD7DCE"/>
    <w:p w:rsidR="00C52598" w:rsidRDefault="00C52598" w:rsidP="00C52598">
      <w:pPr>
        <w:pStyle w:val="ListParagraph"/>
        <w:numPr>
          <w:ilvl w:val="0"/>
          <w:numId w:val="3"/>
        </w:numPr>
        <w:ind w:left="426"/>
      </w:pPr>
      <w:r>
        <w:t xml:space="preserve">I use scatter plot with a linear regression fitted line to show the relationship between HBA1C and the 4 factors of focus (Figure </w:t>
      </w:r>
      <w:r w:rsidR="00DD7DCE">
        <w:t>2</w:t>
      </w:r>
      <w:r>
        <w:t xml:space="preserve">). From Figure 3, FBG, TG and FINS are positively correlated with HBA1C, while BMI is possibly negatively correlated with HBA1C. The effect magnitude of FBG is likely greater than other 3 factors. </w:t>
      </w:r>
    </w:p>
    <w:p w:rsidR="00C52598" w:rsidRDefault="00C52598" w:rsidP="00C52598">
      <w:pPr>
        <w:pStyle w:val="ListParagraph"/>
        <w:ind w:left="426"/>
      </w:pPr>
    </w:p>
    <w:p w:rsidR="00C52598" w:rsidRDefault="00C52598" w:rsidP="00EE6D7E">
      <w:pPr>
        <w:pStyle w:val="ListParagraph"/>
        <w:ind w:left="426"/>
      </w:pPr>
      <w:r>
        <w:t xml:space="preserve">Table </w:t>
      </w:r>
      <w:r w:rsidR="00DD7DCE">
        <w:t>1</w:t>
      </w:r>
      <w:r>
        <w:t xml:space="preserve"> summarizes the univariate analysis for the relations between the 4 factors of focus and HBA1C. Except BMI is not significant at level of 0.05, FBG, TG and FINS are significant correlated with HBA1C. FBG explains ~46.4% variance of the HBA1C, which is greater than other 3 factors.</w:t>
      </w:r>
    </w:p>
    <w:p w:rsidR="00C52598" w:rsidRDefault="00C52598" w:rsidP="00C52598">
      <w:pPr>
        <w:pStyle w:val="ListParagraph"/>
      </w:pPr>
    </w:p>
    <w:p w:rsidR="00C52598" w:rsidRDefault="00C52598" w:rsidP="00C52598">
      <w:pPr>
        <w:pStyle w:val="ListParagraph"/>
        <w:ind w:left="426"/>
      </w:pPr>
      <w:r>
        <w:t xml:space="preserve">The forward model selection based on AIC is used to find the best model. The 4 factors of focus and other covariates are all considered. Their interactions are not included in the analysis. The final model consists of FBG, BMI, HDL, TCHO and Age. The overall model is statistically significant (F-test p-value &lt; </w:t>
      </w:r>
      <w:r w:rsidRPr="00317704">
        <w:t>2.2e-16</w:t>
      </w:r>
      <w:r>
        <w:t xml:space="preserve">). It explains ~47.6% (adjusted R squared) variance of the HBA1C. The summary of the </w:t>
      </w:r>
      <w:r>
        <w:lastRenderedPageBreak/>
        <w:t xml:space="preserve">model fit is shown in Table </w:t>
      </w:r>
      <w:r w:rsidR="00DD7DCE">
        <w:t>2</w:t>
      </w:r>
      <w:r>
        <w:t>. Based on the selected model, FBG and BMI are significantly associated with HBA1C. Their effect size</w:t>
      </w:r>
      <w:r w:rsidR="00DD7DCE">
        <w:t>s</w:t>
      </w:r>
      <w:r>
        <w:t xml:space="preserve"> are 0.508 and -0.041 respectively. TG and FINS are not significantly associated with HBA1C.</w:t>
      </w:r>
    </w:p>
    <w:p w:rsidR="00C52598" w:rsidRDefault="00C52598" w:rsidP="00C52598">
      <w:pPr>
        <w:pStyle w:val="ListParagraph"/>
        <w:ind w:left="426"/>
      </w:pPr>
    </w:p>
    <w:p w:rsidR="00C52598" w:rsidRDefault="00DD7DCE" w:rsidP="00C52598">
      <w:pPr>
        <w:pStyle w:val="ListParagraph"/>
        <w:ind w:left="-142"/>
        <w:jc w:val="center"/>
      </w:pPr>
      <w:r>
        <w:rPr>
          <w:noProof/>
        </w:rPr>
        <w:drawing>
          <wp:inline distT="0" distB="0" distL="0" distR="0">
            <wp:extent cx="4810125" cy="387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3876675"/>
                    </a:xfrm>
                    <a:prstGeom prst="rect">
                      <a:avLst/>
                    </a:prstGeom>
                    <a:noFill/>
                    <a:ln>
                      <a:noFill/>
                    </a:ln>
                  </pic:spPr>
                </pic:pic>
              </a:graphicData>
            </a:graphic>
          </wp:inline>
        </w:drawing>
      </w:r>
    </w:p>
    <w:p w:rsidR="00C52598" w:rsidRPr="00322199" w:rsidRDefault="00C52598" w:rsidP="00C52598">
      <w:pPr>
        <w:jc w:val="center"/>
        <w:rPr>
          <w:b/>
          <w:sz w:val="22"/>
        </w:rPr>
      </w:pPr>
      <w:r w:rsidRPr="00322199">
        <w:rPr>
          <w:b/>
          <w:sz w:val="22"/>
        </w:rPr>
        <w:t xml:space="preserve">Figure </w:t>
      </w:r>
      <w:r w:rsidR="00DD7DCE">
        <w:rPr>
          <w:b/>
          <w:sz w:val="22"/>
        </w:rPr>
        <w:t>2</w:t>
      </w:r>
      <w:r w:rsidRPr="00322199">
        <w:rPr>
          <w:b/>
          <w:sz w:val="22"/>
        </w:rPr>
        <w:t>. Scatter plot of FBG, BMI, TG and FINS vs. HBA1C with linear regression line</w:t>
      </w:r>
    </w:p>
    <w:p w:rsidR="00C52598" w:rsidRDefault="00C52598" w:rsidP="00C52598"/>
    <w:p w:rsidR="00C52598" w:rsidRDefault="00C52598" w:rsidP="00C52598">
      <w:pPr>
        <w:pStyle w:val="ListParagraph"/>
        <w:ind w:left="0"/>
        <w:jc w:val="center"/>
        <w:rPr>
          <w:b/>
          <w:sz w:val="22"/>
        </w:rPr>
      </w:pPr>
      <w:r>
        <w:rPr>
          <w:b/>
          <w:sz w:val="22"/>
        </w:rPr>
        <w:t xml:space="preserve">Table </w:t>
      </w:r>
      <w:r w:rsidR="00DD7DCE">
        <w:rPr>
          <w:b/>
          <w:sz w:val="22"/>
        </w:rPr>
        <w:t>1</w:t>
      </w:r>
      <w:r>
        <w:rPr>
          <w:b/>
          <w:sz w:val="22"/>
        </w:rPr>
        <w:t>.</w:t>
      </w:r>
      <w:r w:rsidRPr="00A02E79">
        <w:rPr>
          <w:b/>
          <w:sz w:val="22"/>
        </w:rPr>
        <w:t xml:space="preserve"> Summary for the univariate analysis</w:t>
      </w:r>
    </w:p>
    <w:p w:rsidR="00C52598" w:rsidRPr="00A02E79" w:rsidRDefault="00C52598" w:rsidP="00C52598">
      <w:pPr>
        <w:pStyle w:val="ListParagraph"/>
        <w:ind w:left="0"/>
        <w:jc w:val="center"/>
        <w:rPr>
          <w:b/>
          <w:sz w:val="22"/>
        </w:rPr>
      </w:pPr>
    </w:p>
    <w:tbl>
      <w:tblPr>
        <w:tblStyle w:val="PlainTable5"/>
        <w:tblW w:w="4111" w:type="dxa"/>
        <w:jc w:val="center"/>
        <w:tblLook w:val="04A0" w:firstRow="1" w:lastRow="0" w:firstColumn="1" w:lastColumn="0" w:noHBand="0" w:noVBand="1"/>
      </w:tblPr>
      <w:tblGrid>
        <w:gridCol w:w="960"/>
        <w:gridCol w:w="1167"/>
        <w:gridCol w:w="1984"/>
      </w:tblGrid>
      <w:tr w:rsidR="00C52598" w:rsidRPr="00A02E79" w:rsidTr="00862F07">
        <w:trPr>
          <w:cnfStyle w:val="100000000000" w:firstRow="1" w:lastRow="0" w:firstColumn="0" w:lastColumn="0" w:oddVBand="0" w:evenVBand="0" w:oddHBand="0" w:evenHBand="0" w:firstRowFirstColumn="0" w:firstRowLastColumn="0" w:lastRowFirstColumn="0" w:lastRowLastColumn="0"/>
          <w:trHeight w:val="309"/>
          <w:jc w:val="center"/>
        </w:trPr>
        <w:tc>
          <w:tcPr>
            <w:cnfStyle w:val="001000000100" w:firstRow="0" w:lastRow="0" w:firstColumn="1" w:lastColumn="0" w:oddVBand="0" w:evenVBand="0" w:oddHBand="0" w:evenHBand="0" w:firstRowFirstColumn="1" w:firstRowLastColumn="0" w:lastRowFirstColumn="0" w:lastRowLastColumn="0"/>
            <w:tcW w:w="960" w:type="dxa"/>
            <w:tcBorders>
              <w:top w:val="single" w:sz="4" w:space="0" w:color="auto"/>
            </w:tcBorders>
            <w:noWrap/>
            <w:hideMark/>
          </w:tcPr>
          <w:p w:rsidR="00C52598" w:rsidRPr="00A02E79" w:rsidRDefault="00C52598" w:rsidP="00862F07">
            <w:pPr>
              <w:rPr>
                <w:rFonts w:eastAsia="Times New Roman"/>
                <w:i w:val="0"/>
                <w:sz w:val="20"/>
                <w:szCs w:val="24"/>
                <w:lang w:eastAsia="zh-CN"/>
              </w:rPr>
            </w:pPr>
          </w:p>
        </w:tc>
        <w:tc>
          <w:tcPr>
            <w:tcW w:w="1167" w:type="dxa"/>
            <w:tcBorders>
              <w:top w:val="single" w:sz="4" w:space="0" w:color="auto"/>
            </w:tcBorders>
            <w:noWrap/>
            <w:hideMark/>
          </w:tcPr>
          <w:p w:rsidR="00C52598" w:rsidRPr="00A02E79" w:rsidRDefault="00C52598" w:rsidP="00862F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i w:val="0"/>
                <w:color w:val="000000"/>
                <w:sz w:val="22"/>
                <w:szCs w:val="22"/>
                <w:lang w:eastAsia="zh-CN"/>
              </w:rPr>
            </w:pPr>
            <w:r w:rsidRPr="00A02E79">
              <w:rPr>
                <w:rFonts w:ascii="Calibri" w:eastAsia="Times New Roman" w:hAnsi="Calibri"/>
                <w:i w:val="0"/>
                <w:color w:val="000000"/>
                <w:sz w:val="22"/>
                <w:szCs w:val="22"/>
                <w:lang w:eastAsia="zh-CN"/>
              </w:rPr>
              <w:t>p-value</w:t>
            </w:r>
          </w:p>
        </w:tc>
        <w:tc>
          <w:tcPr>
            <w:tcW w:w="1984" w:type="dxa"/>
            <w:tcBorders>
              <w:top w:val="single" w:sz="4" w:space="0" w:color="auto"/>
            </w:tcBorders>
            <w:noWrap/>
            <w:hideMark/>
          </w:tcPr>
          <w:p w:rsidR="00C52598" w:rsidRPr="00A02E79" w:rsidRDefault="00C52598" w:rsidP="00862F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i w:val="0"/>
                <w:color w:val="000000"/>
                <w:sz w:val="22"/>
                <w:szCs w:val="22"/>
                <w:lang w:eastAsia="zh-CN"/>
              </w:rPr>
            </w:pPr>
            <w:r w:rsidRPr="00A02E79">
              <w:rPr>
                <w:rFonts w:ascii="Calibri" w:eastAsia="Times New Roman" w:hAnsi="Calibri"/>
                <w:i w:val="0"/>
                <w:color w:val="000000"/>
                <w:sz w:val="22"/>
                <w:szCs w:val="22"/>
                <w:lang w:eastAsia="zh-CN"/>
              </w:rPr>
              <w:t>Adjusted R-squared</w:t>
            </w:r>
          </w:p>
        </w:tc>
      </w:tr>
      <w:tr w:rsidR="00C52598" w:rsidRPr="00A02E79" w:rsidTr="00862F07">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C52598" w:rsidRPr="00A02E79" w:rsidRDefault="00C52598" w:rsidP="00862F07">
            <w:pPr>
              <w:rPr>
                <w:rFonts w:ascii="Calibri" w:eastAsia="Times New Roman" w:hAnsi="Calibri"/>
                <w:i w:val="0"/>
                <w:color w:val="000000"/>
                <w:sz w:val="22"/>
                <w:szCs w:val="22"/>
                <w:lang w:eastAsia="zh-CN"/>
              </w:rPr>
            </w:pPr>
            <w:r>
              <w:rPr>
                <w:rFonts w:ascii="Calibri" w:eastAsia="Times New Roman" w:hAnsi="Calibri"/>
                <w:i w:val="0"/>
                <w:color w:val="000000"/>
                <w:sz w:val="22"/>
                <w:szCs w:val="22"/>
                <w:lang w:eastAsia="zh-CN"/>
              </w:rPr>
              <w:t>FBG</w:t>
            </w:r>
          </w:p>
        </w:tc>
        <w:tc>
          <w:tcPr>
            <w:tcW w:w="1167" w:type="dxa"/>
            <w:noWrap/>
            <w:hideMark/>
          </w:tcPr>
          <w:p w:rsidR="00C52598" w:rsidRPr="00A02E79" w:rsidRDefault="00C52598" w:rsidP="00862F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zh-CN"/>
              </w:rPr>
            </w:pPr>
            <w:r w:rsidRPr="00A02E79">
              <w:rPr>
                <w:rFonts w:ascii="Calibri" w:eastAsia="Times New Roman" w:hAnsi="Calibri"/>
                <w:color w:val="000000"/>
                <w:sz w:val="22"/>
                <w:szCs w:val="22"/>
                <w:lang w:eastAsia="zh-CN"/>
              </w:rPr>
              <w:t>&lt;2.2e-16</w:t>
            </w:r>
          </w:p>
        </w:tc>
        <w:tc>
          <w:tcPr>
            <w:tcW w:w="1984" w:type="dxa"/>
            <w:noWrap/>
            <w:hideMark/>
          </w:tcPr>
          <w:p w:rsidR="00C52598" w:rsidRPr="00A02E79" w:rsidRDefault="00C52598" w:rsidP="00862F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zh-CN"/>
              </w:rPr>
            </w:pPr>
            <w:r>
              <w:rPr>
                <w:rFonts w:ascii="Calibri" w:eastAsia="Times New Roman" w:hAnsi="Calibri"/>
                <w:color w:val="000000"/>
                <w:sz w:val="22"/>
                <w:szCs w:val="22"/>
                <w:lang w:eastAsia="zh-CN"/>
              </w:rPr>
              <w:t>0.4646</w:t>
            </w:r>
          </w:p>
        </w:tc>
      </w:tr>
      <w:tr w:rsidR="00C52598" w:rsidRPr="00A02E79" w:rsidTr="00862F07">
        <w:trPr>
          <w:trHeight w:val="309"/>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C52598" w:rsidRPr="00A02E79" w:rsidRDefault="00C52598" w:rsidP="00862F07">
            <w:pPr>
              <w:rPr>
                <w:rFonts w:ascii="Calibri" w:eastAsia="Times New Roman" w:hAnsi="Calibri"/>
                <w:i w:val="0"/>
                <w:color w:val="000000"/>
                <w:sz w:val="22"/>
                <w:szCs w:val="22"/>
                <w:lang w:eastAsia="zh-CN"/>
              </w:rPr>
            </w:pPr>
            <w:r>
              <w:rPr>
                <w:rFonts w:ascii="Calibri" w:eastAsia="Times New Roman" w:hAnsi="Calibri"/>
                <w:i w:val="0"/>
                <w:color w:val="000000"/>
                <w:sz w:val="22"/>
                <w:szCs w:val="22"/>
                <w:lang w:eastAsia="zh-CN"/>
              </w:rPr>
              <w:t>TG</w:t>
            </w:r>
          </w:p>
        </w:tc>
        <w:tc>
          <w:tcPr>
            <w:tcW w:w="1167" w:type="dxa"/>
            <w:noWrap/>
            <w:hideMark/>
          </w:tcPr>
          <w:p w:rsidR="00C52598" w:rsidRPr="00A02E79" w:rsidRDefault="00C52598" w:rsidP="00862F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zh-CN"/>
              </w:rPr>
            </w:pPr>
            <w:r w:rsidRPr="00322199">
              <w:rPr>
                <w:rFonts w:ascii="Calibri" w:eastAsia="Times New Roman" w:hAnsi="Calibri"/>
                <w:color w:val="000000"/>
                <w:sz w:val="22"/>
                <w:szCs w:val="22"/>
                <w:lang w:eastAsia="zh-CN"/>
              </w:rPr>
              <w:t>2.87e-13</w:t>
            </w:r>
          </w:p>
        </w:tc>
        <w:tc>
          <w:tcPr>
            <w:tcW w:w="1984" w:type="dxa"/>
            <w:noWrap/>
            <w:hideMark/>
          </w:tcPr>
          <w:p w:rsidR="00C52598" w:rsidRPr="00A02E79" w:rsidRDefault="00C52598" w:rsidP="00862F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zh-CN"/>
              </w:rPr>
            </w:pPr>
            <w:r w:rsidRPr="00A02E79">
              <w:rPr>
                <w:rFonts w:ascii="Calibri" w:eastAsia="Times New Roman" w:hAnsi="Calibri"/>
                <w:color w:val="000000"/>
                <w:sz w:val="22"/>
                <w:szCs w:val="22"/>
                <w:lang w:eastAsia="zh-CN"/>
              </w:rPr>
              <w:t>0.</w:t>
            </w:r>
            <w:r>
              <w:rPr>
                <w:rFonts w:ascii="Calibri" w:eastAsia="Times New Roman" w:hAnsi="Calibri"/>
                <w:color w:val="000000"/>
                <w:sz w:val="22"/>
                <w:szCs w:val="22"/>
                <w:lang w:eastAsia="zh-CN"/>
              </w:rPr>
              <w:t>0285</w:t>
            </w:r>
          </w:p>
        </w:tc>
      </w:tr>
      <w:tr w:rsidR="00C52598" w:rsidRPr="00A02E79" w:rsidTr="00862F07">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C52598" w:rsidRPr="00A02E79" w:rsidRDefault="00C52598" w:rsidP="00862F07">
            <w:pPr>
              <w:rPr>
                <w:rFonts w:ascii="Calibri" w:eastAsia="Times New Roman" w:hAnsi="Calibri"/>
                <w:i w:val="0"/>
                <w:color w:val="000000"/>
                <w:sz w:val="22"/>
                <w:szCs w:val="22"/>
                <w:lang w:eastAsia="zh-CN"/>
              </w:rPr>
            </w:pPr>
            <w:r>
              <w:rPr>
                <w:rFonts w:ascii="Calibri" w:eastAsia="Times New Roman" w:hAnsi="Calibri"/>
                <w:i w:val="0"/>
                <w:color w:val="000000"/>
                <w:sz w:val="22"/>
                <w:szCs w:val="22"/>
                <w:lang w:eastAsia="zh-CN"/>
              </w:rPr>
              <w:t>BMI</w:t>
            </w:r>
          </w:p>
        </w:tc>
        <w:tc>
          <w:tcPr>
            <w:tcW w:w="1167" w:type="dxa"/>
            <w:noWrap/>
            <w:hideMark/>
          </w:tcPr>
          <w:p w:rsidR="00C52598" w:rsidRPr="00A02E79" w:rsidRDefault="00C52598" w:rsidP="00862F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zh-CN"/>
              </w:rPr>
            </w:pPr>
            <w:r>
              <w:rPr>
                <w:rFonts w:ascii="Calibri" w:eastAsia="Times New Roman" w:hAnsi="Calibri"/>
                <w:color w:val="000000"/>
                <w:sz w:val="22"/>
                <w:szCs w:val="22"/>
                <w:lang w:eastAsia="zh-CN"/>
              </w:rPr>
              <w:t>0.0917</w:t>
            </w:r>
          </w:p>
        </w:tc>
        <w:tc>
          <w:tcPr>
            <w:tcW w:w="1984" w:type="dxa"/>
            <w:noWrap/>
            <w:hideMark/>
          </w:tcPr>
          <w:p w:rsidR="00C52598" w:rsidRPr="00A02E79" w:rsidRDefault="00C52598" w:rsidP="00862F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2"/>
                <w:lang w:eastAsia="zh-CN"/>
              </w:rPr>
            </w:pPr>
            <w:r>
              <w:rPr>
                <w:rFonts w:ascii="Calibri" w:eastAsia="Times New Roman" w:hAnsi="Calibri"/>
                <w:color w:val="000000"/>
                <w:sz w:val="22"/>
                <w:szCs w:val="22"/>
                <w:lang w:eastAsia="zh-CN"/>
              </w:rPr>
              <w:t>0.0015</w:t>
            </w:r>
          </w:p>
        </w:tc>
      </w:tr>
      <w:tr w:rsidR="00C52598" w:rsidRPr="00A02E79" w:rsidTr="00862F07">
        <w:trPr>
          <w:trHeight w:val="309"/>
          <w:jc w:val="center"/>
        </w:trPr>
        <w:tc>
          <w:tcPr>
            <w:cnfStyle w:val="001000000000" w:firstRow="0" w:lastRow="0" w:firstColumn="1" w:lastColumn="0" w:oddVBand="0" w:evenVBand="0" w:oddHBand="0" w:evenHBand="0" w:firstRowFirstColumn="0" w:firstRowLastColumn="0" w:lastRowFirstColumn="0" w:lastRowLastColumn="0"/>
            <w:tcW w:w="960" w:type="dxa"/>
            <w:tcBorders>
              <w:bottom w:val="single" w:sz="4" w:space="0" w:color="auto"/>
            </w:tcBorders>
            <w:noWrap/>
            <w:hideMark/>
          </w:tcPr>
          <w:p w:rsidR="00C52598" w:rsidRPr="00A02E79" w:rsidRDefault="00C52598" w:rsidP="00862F07">
            <w:pPr>
              <w:rPr>
                <w:rFonts w:ascii="Calibri" w:eastAsia="Times New Roman" w:hAnsi="Calibri"/>
                <w:i w:val="0"/>
                <w:color w:val="000000"/>
                <w:sz w:val="22"/>
                <w:szCs w:val="22"/>
                <w:lang w:eastAsia="zh-CN"/>
              </w:rPr>
            </w:pPr>
            <w:r>
              <w:rPr>
                <w:rFonts w:ascii="Calibri" w:eastAsia="Times New Roman" w:hAnsi="Calibri"/>
                <w:i w:val="0"/>
                <w:color w:val="000000"/>
                <w:sz w:val="22"/>
                <w:szCs w:val="22"/>
                <w:lang w:eastAsia="zh-CN"/>
              </w:rPr>
              <w:t>FINS</w:t>
            </w:r>
          </w:p>
        </w:tc>
        <w:tc>
          <w:tcPr>
            <w:tcW w:w="1167" w:type="dxa"/>
            <w:tcBorders>
              <w:bottom w:val="single" w:sz="4" w:space="0" w:color="auto"/>
            </w:tcBorders>
            <w:noWrap/>
            <w:hideMark/>
          </w:tcPr>
          <w:p w:rsidR="00C52598" w:rsidRPr="00A02E79" w:rsidRDefault="00C52598" w:rsidP="00862F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zh-CN"/>
              </w:rPr>
            </w:pPr>
            <w:r w:rsidRPr="00322199">
              <w:rPr>
                <w:rFonts w:ascii="Calibri" w:eastAsia="Times New Roman" w:hAnsi="Calibri"/>
                <w:color w:val="000000"/>
                <w:sz w:val="22"/>
                <w:szCs w:val="22"/>
                <w:lang w:eastAsia="zh-CN"/>
              </w:rPr>
              <w:t>1.</w:t>
            </w:r>
            <w:r>
              <w:rPr>
                <w:rFonts w:ascii="Calibri" w:eastAsia="Times New Roman" w:hAnsi="Calibri"/>
                <w:color w:val="000000"/>
                <w:sz w:val="22"/>
                <w:szCs w:val="22"/>
                <w:lang w:eastAsia="zh-CN"/>
              </w:rPr>
              <w:t>84</w:t>
            </w:r>
            <w:r w:rsidRPr="00322199">
              <w:rPr>
                <w:rFonts w:ascii="Calibri" w:eastAsia="Times New Roman" w:hAnsi="Calibri"/>
                <w:color w:val="000000"/>
                <w:sz w:val="22"/>
                <w:szCs w:val="22"/>
                <w:lang w:eastAsia="zh-CN"/>
              </w:rPr>
              <w:t>e-08</w:t>
            </w:r>
          </w:p>
        </w:tc>
        <w:tc>
          <w:tcPr>
            <w:tcW w:w="1984" w:type="dxa"/>
            <w:tcBorders>
              <w:bottom w:val="single" w:sz="4" w:space="0" w:color="auto"/>
            </w:tcBorders>
            <w:noWrap/>
            <w:hideMark/>
          </w:tcPr>
          <w:p w:rsidR="00C52598" w:rsidRPr="00A02E79" w:rsidRDefault="00C52598" w:rsidP="00862F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zh-CN"/>
              </w:rPr>
            </w:pPr>
            <w:r>
              <w:rPr>
                <w:rFonts w:ascii="Calibri" w:eastAsia="Times New Roman" w:hAnsi="Calibri"/>
                <w:color w:val="000000"/>
                <w:sz w:val="22"/>
                <w:szCs w:val="22"/>
                <w:lang w:eastAsia="zh-CN"/>
              </w:rPr>
              <w:t>0.0170</w:t>
            </w:r>
          </w:p>
        </w:tc>
      </w:tr>
    </w:tbl>
    <w:p w:rsidR="00C52598" w:rsidRDefault="00C52598" w:rsidP="00C52598">
      <w:pPr>
        <w:pStyle w:val="ListParagraph"/>
        <w:ind w:left="0"/>
        <w:jc w:val="center"/>
        <w:rPr>
          <w:b/>
          <w:sz w:val="22"/>
        </w:rPr>
      </w:pPr>
    </w:p>
    <w:p w:rsidR="00C52598" w:rsidRDefault="00C52598" w:rsidP="00C52598">
      <w:pPr>
        <w:pStyle w:val="ListParagraph"/>
        <w:ind w:left="0"/>
        <w:jc w:val="center"/>
        <w:rPr>
          <w:b/>
          <w:sz w:val="22"/>
        </w:rPr>
      </w:pPr>
      <w:r>
        <w:rPr>
          <w:b/>
          <w:sz w:val="22"/>
        </w:rPr>
        <w:t xml:space="preserve">Table </w:t>
      </w:r>
      <w:r w:rsidR="00DD7DCE">
        <w:rPr>
          <w:b/>
          <w:sz w:val="22"/>
        </w:rPr>
        <w:t>2</w:t>
      </w:r>
      <w:r>
        <w:rPr>
          <w:b/>
          <w:sz w:val="22"/>
        </w:rPr>
        <w:t>.</w:t>
      </w:r>
      <w:r w:rsidRPr="00A02E79">
        <w:rPr>
          <w:b/>
          <w:sz w:val="22"/>
        </w:rPr>
        <w:t xml:space="preserve"> Summary for the </w:t>
      </w:r>
      <w:r w:rsidRPr="00BC5D53">
        <w:rPr>
          <w:b/>
          <w:sz w:val="22"/>
        </w:rPr>
        <w:t>multiple linear regression</w:t>
      </w:r>
      <w:r>
        <w:rPr>
          <w:b/>
          <w:sz w:val="22"/>
        </w:rPr>
        <w:t xml:space="preserve"> coefficients</w:t>
      </w:r>
    </w:p>
    <w:p w:rsidR="00C52598" w:rsidRPr="00BC5D53" w:rsidRDefault="00C52598" w:rsidP="00C52598">
      <w:pPr>
        <w:pStyle w:val="ListParagraph"/>
        <w:ind w:left="0"/>
        <w:jc w:val="center"/>
        <w:rPr>
          <w:b/>
          <w:sz w:val="22"/>
        </w:rPr>
      </w:pPr>
    </w:p>
    <w:tbl>
      <w:tblPr>
        <w:tblStyle w:val="PlainTable5"/>
        <w:tblW w:w="5954" w:type="dxa"/>
        <w:jc w:val="center"/>
        <w:tblLayout w:type="fixed"/>
        <w:tblLook w:val="04A0" w:firstRow="1" w:lastRow="0" w:firstColumn="1" w:lastColumn="0" w:noHBand="0" w:noVBand="1"/>
      </w:tblPr>
      <w:tblGrid>
        <w:gridCol w:w="1180"/>
        <w:gridCol w:w="1193"/>
        <w:gridCol w:w="1194"/>
        <w:gridCol w:w="1193"/>
        <w:gridCol w:w="1194"/>
      </w:tblGrid>
      <w:tr w:rsidR="00C52598" w:rsidRPr="00BC5D53" w:rsidTr="00862F0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1180" w:type="dxa"/>
            <w:tcBorders>
              <w:top w:val="single" w:sz="4" w:space="0" w:color="auto"/>
            </w:tcBorders>
            <w:noWrap/>
            <w:hideMark/>
          </w:tcPr>
          <w:p w:rsidR="00C52598" w:rsidRPr="00BC5D53" w:rsidRDefault="00C52598" w:rsidP="00862F07">
            <w:pPr>
              <w:rPr>
                <w:rFonts w:eastAsia="Times New Roman"/>
                <w:i w:val="0"/>
                <w:sz w:val="20"/>
                <w:szCs w:val="24"/>
                <w:lang w:eastAsia="zh-CN"/>
              </w:rPr>
            </w:pPr>
          </w:p>
        </w:tc>
        <w:tc>
          <w:tcPr>
            <w:tcW w:w="1193" w:type="dxa"/>
            <w:tcBorders>
              <w:top w:val="single" w:sz="4" w:space="0" w:color="auto"/>
            </w:tcBorders>
            <w:noWrap/>
            <w:hideMark/>
          </w:tcPr>
          <w:p w:rsidR="00C52598" w:rsidRPr="00BC5D53" w:rsidRDefault="00C52598" w:rsidP="00862F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i w:val="0"/>
                <w:color w:val="000000"/>
                <w:sz w:val="22"/>
                <w:szCs w:val="22"/>
                <w:lang w:eastAsia="zh-CN"/>
              </w:rPr>
            </w:pPr>
            <w:r w:rsidRPr="00BC5D53">
              <w:rPr>
                <w:rFonts w:ascii="Calibri" w:eastAsia="Times New Roman" w:hAnsi="Calibri"/>
                <w:i w:val="0"/>
                <w:color w:val="000000"/>
                <w:sz w:val="22"/>
                <w:szCs w:val="22"/>
                <w:lang w:eastAsia="zh-CN"/>
              </w:rPr>
              <w:t>Estimate</w:t>
            </w:r>
          </w:p>
        </w:tc>
        <w:tc>
          <w:tcPr>
            <w:tcW w:w="1194" w:type="dxa"/>
            <w:tcBorders>
              <w:top w:val="single" w:sz="4" w:space="0" w:color="auto"/>
            </w:tcBorders>
            <w:noWrap/>
            <w:hideMark/>
          </w:tcPr>
          <w:p w:rsidR="00C52598" w:rsidRPr="00BC5D53" w:rsidRDefault="00C52598" w:rsidP="00862F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i w:val="0"/>
                <w:color w:val="000000"/>
                <w:sz w:val="22"/>
                <w:szCs w:val="22"/>
                <w:lang w:eastAsia="zh-CN"/>
              </w:rPr>
            </w:pPr>
            <w:r w:rsidRPr="00BC5D53">
              <w:rPr>
                <w:rFonts w:ascii="Calibri" w:eastAsia="Times New Roman" w:hAnsi="Calibri"/>
                <w:i w:val="0"/>
                <w:color w:val="000000"/>
                <w:sz w:val="22"/>
                <w:szCs w:val="22"/>
                <w:lang w:eastAsia="zh-CN"/>
              </w:rPr>
              <w:t>Std. Error</w:t>
            </w:r>
          </w:p>
        </w:tc>
        <w:tc>
          <w:tcPr>
            <w:tcW w:w="1193" w:type="dxa"/>
            <w:tcBorders>
              <w:top w:val="single" w:sz="4" w:space="0" w:color="auto"/>
            </w:tcBorders>
            <w:noWrap/>
            <w:hideMark/>
          </w:tcPr>
          <w:p w:rsidR="00C52598" w:rsidRPr="00BC5D53" w:rsidRDefault="00C52598" w:rsidP="00862F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i w:val="0"/>
                <w:color w:val="000000"/>
                <w:sz w:val="22"/>
                <w:szCs w:val="22"/>
                <w:lang w:eastAsia="zh-CN"/>
              </w:rPr>
            </w:pPr>
            <w:r w:rsidRPr="00BC5D53">
              <w:rPr>
                <w:rFonts w:ascii="Calibri" w:eastAsia="Times New Roman" w:hAnsi="Calibri"/>
                <w:i w:val="0"/>
                <w:color w:val="000000"/>
                <w:sz w:val="22"/>
                <w:szCs w:val="22"/>
                <w:lang w:eastAsia="zh-CN"/>
              </w:rPr>
              <w:t>t value</w:t>
            </w:r>
          </w:p>
        </w:tc>
        <w:tc>
          <w:tcPr>
            <w:tcW w:w="1194" w:type="dxa"/>
            <w:tcBorders>
              <w:top w:val="single" w:sz="4" w:space="0" w:color="auto"/>
            </w:tcBorders>
            <w:noWrap/>
            <w:hideMark/>
          </w:tcPr>
          <w:p w:rsidR="00C52598" w:rsidRPr="00BC5D53" w:rsidRDefault="00C52598" w:rsidP="00862F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i w:val="0"/>
                <w:color w:val="000000"/>
                <w:sz w:val="22"/>
                <w:szCs w:val="22"/>
                <w:lang w:eastAsia="zh-CN"/>
              </w:rPr>
            </w:pPr>
            <w:r>
              <w:rPr>
                <w:rFonts w:ascii="Calibri" w:eastAsia="Times New Roman" w:hAnsi="Calibri"/>
                <w:i w:val="0"/>
                <w:color w:val="000000"/>
                <w:sz w:val="22"/>
                <w:szCs w:val="22"/>
                <w:lang w:eastAsia="zh-CN"/>
              </w:rPr>
              <w:t>p-value</w:t>
            </w:r>
          </w:p>
        </w:tc>
      </w:tr>
      <w:tr w:rsidR="00C52598" w:rsidRPr="00BC5D53" w:rsidTr="00862F0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80" w:type="dxa"/>
            <w:tcBorders>
              <w:top w:val="nil"/>
              <w:left w:val="nil"/>
              <w:bottom w:val="nil"/>
              <w:right w:val="nil"/>
            </w:tcBorders>
            <w:shd w:val="clear" w:color="auto" w:fill="auto"/>
            <w:noWrap/>
            <w:vAlign w:val="bottom"/>
            <w:hideMark/>
          </w:tcPr>
          <w:p w:rsidR="00C52598" w:rsidRPr="0022249D" w:rsidRDefault="00C52598" w:rsidP="00862F07">
            <w:pPr>
              <w:rPr>
                <w:rFonts w:ascii="Calibri" w:hAnsi="Calibri"/>
                <w:i w:val="0"/>
                <w:color w:val="000000"/>
                <w:sz w:val="22"/>
                <w:szCs w:val="22"/>
                <w:lang w:eastAsia="zh-CN"/>
              </w:rPr>
            </w:pPr>
            <w:r w:rsidRPr="0022249D">
              <w:rPr>
                <w:rFonts w:ascii="Calibri" w:hAnsi="Calibri"/>
                <w:i w:val="0"/>
                <w:color w:val="000000"/>
                <w:sz w:val="22"/>
                <w:szCs w:val="22"/>
              </w:rPr>
              <w:t>(Intercept)</w:t>
            </w:r>
          </w:p>
        </w:tc>
        <w:tc>
          <w:tcPr>
            <w:tcW w:w="1193" w:type="dxa"/>
            <w:tcBorders>
              <w:top w:val="nil"/>
              <w:left w:val="nil"/>
              <w:bottom w:val="nil"/>
              <w:right w:val="nil"/>
            </w:tcBorders>
            <w:shd w:val="clear" w:color="auto" w:fill="auto"/>
            <w:noWrap/>
            <w:vAlign w:val="bottom"/>
            <w:hideMark/>
          </w:tcPr>
          <w:p w:rsidR="00C52598" w:rsidRDefault="00C52598" w:rsidP="00862F0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zh-CN"/>
              </w:rPr>
            </w:pPr>
            <w:r>
              <w:rPr>
                <w:rFonts w:ascii="Calibri" w:hAnsi="Calibri"/>
                <w:color w:val="000000"/>
                <w:sz w:val="22"/>
                <w:szCs w:val="22"/>
              </w:rPr>
              <w:t>3.837</w:t>
            </w:r>
          </w:p>
        </w:tc>
        <w:tc>
          <w:tcPr>
            <w:tcW w:w="1194" w:type="dxa"/>
            <w:tcBorders>
              <w:top w:val="nil"/>
              <w:left w:val="nil"/>
              <w:bottom w:val="nil"/>
              <w:right w:val="nil"/>
            </w:tcBorders>
            <w:shd w:val="clear" w:color="auto" w:fill="auto"/>
            <w:noWrap/>
            <w:vAlign w:val="bottom"/>
            <w:hideMark/>
          </w:tcPr>
          <w:p w:rsidR="00C52598" w:rsidRDefault="00C52598" w:rsidP="00862F0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0.330</w:t>
            </w:r>
          </w:p>
        </w:tc>
        <w:tc>
          <w:tcPr>
            <w:tcW w:w="1193" w:type="dxa"/>
            <w:tcBorders>
              <w:top w:val="nil"/>
              <w:left w:val="nil"/>
              <w:bottom w:val="nil"/>
              <w:right w:val="nil"/>
            </w:tcBorders>
            <w:shd w:val="clear" w:color="auto" w:fill="auto"/>
            <w:noWrap/>
            <w:vAlign w:val="bottom"/>
            <w:hideMark/>
          </w:tcPr>
          <w:p w:rsidR="00C52598" w:rsidRDefault="00C52598" w:rsidP="00862F0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11.61</w:t>
            </w:r>
          </w:p>
        </w:tc>
        <w:tc>
          <w:tcPr>
            <w:tcW w:w="1194" w:type="dxa"/>
            <w:tcBorders>
              <w:top w:val="nil"/>
              <w:left w:val="nil"/>
              <w:bottom w:val="nil"/>
              <w:right w:val="nil"/>
            </w:tcBorders>
            <w:shd w:val="clear" w:color="auto" w:fill="auto"/>
            <w:noWrap/>
            <w:vAlign w:val="bottom"/>
            <w:hideMark/>
          </w:tcPr>
          <w:p w:rsidR="00C52598" w:rsidRDefault="00C52598" w:rsidP="00862F0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&lt;2.00E-16</w:t>
            </w:r>
          </w:p>
        </w:tc>
      </w:tr>
      <w:tr w:rsidR="00C52598" w:rsidRPr="00BC5D53" w:rsidTr="00862F07">
        <w:trPr>
          <w:trHeight w:val="315"/>
          <w:jc w:val="center"/>
        </w:trPr>
        <w:tc>
          <w:tcPr>
            <w:cnfStyle w:val="001000000000" w:firstRow="0" w:lastRow="0" w:firstColumn="1" w:lastColumn="0" w:oddVBand="0" w:evenVBand="0" w:oddHBand="0" w:evenHBand="0" w:firstRowFirstColumn="0" w:firstRowLastColumn="0" w:lastRowFirstColumn="0" w:lastRowLastColumn="0"/>
            <w:tcW w:w="1180" w:type="dxa"/>
            <w:tcBorders>
              <w:top w:val="nil"/>
              <w:left w:val="nil"/>
              <w:bottom w:val="nil"/>
              <w:right w:val="nil"/>
            </w:tcBorders>
            <w:shd w:val="clear" w:color="auto" w:fill="auto"/>
            <w:noWrap/>
            <w:vAlign w:val="bottom"/>
            <w:hideMark/>
          </w:tcPr>
          <w:p w:rsidR="00C52598" w:rsidRPr="0022249D" w:rsidRDefault="00C52598" w:rsidP="00862F07">
            <w:pPr>
              <w:jc w:val="left"/>
              <w:rPr>
                <w:rFonts w:ascii="Calibri" w:hAnsi="Calibri"/>
                <w:i w:val="0"/>
                <w:color w:val="000000"/>
                <w:sz w:val="22"/>
                <w:szCs w:val="22"/>
              </w:rPr>
            </w:pPr>
            <w:proofErr w:type="spellStart"/>
            <w:r w:rsidRPr="0022249D">
              <w:rPr>
                <w:rFonts w:ascii="Calibri" w:hAnsi="Calibri"/>
                <w:i w:val="0"/>
                <w:color w:val="000000"/>
                <w:sz w:val="22"/>
                <w:szCs w:val="22"/>
              </w:rPr>
              <w:t>fbg</w:t>
            </w:r>
            <w:proofErr w:type="spellEnd"/>
          </w:p>
        </w:tc>
        <w:tc>
          <w:tcPr>
            <w:tcW w:w="1193" w:type="dxa"/>
            <w:tcBorders>
              <w:top w:val="nil"/>
              <w:left w:val="nil"/>
              <w:bottom w:val="nil"/>
              <w:right w:val="nil"/>
            </w:tcBorders>
            <w:shd w:val="clear" w:color="auto" w:fill="auto"/>
            <w:noWrap/>
            <w:vAlign w:val="bottom"/>
            <w:hideMark/>
          </w:tcPr>
          <w:p w:rsidR="00C52598" w:rsidRDefault="00C52598" w:rsidP="00862F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0.508</w:t>
            </w:r>
          </w:p>
        </w:tc>
        <w:tc>
          <w:tcPr>
            <w:tcW w:w="1194" w:type="dxa"/>
            <w:tcBorders>
              <w:top w:val="nil"/>
              <w:left w:val="nil"/>
              <w:bottom w:val="nil"/>
              <w:right w:val="nil"/>
            </w:tcBorders>
            <w:shd w:val="clear" w:color="auto" w:fill="auto"/>
            <w:noWrap/>
            <w:vAlign w:val="bottom"/>
            <w:hideMark/>
          </w:tcPr>
          <w:p w:rsidR="00C52598" w:rsidRDefault="00C52598" w:rsidP="00862F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0.014</w:t>
            </w:r>
          </w:p>
        </w:tc>
        <w:tc>
          <w:tcPr>
            <w:tcW w:w="1193" w:type="dxa"/>
            <w:tcBorders>
              <w:top w:val="nil"/>
              <w:left w:val="nil"/>
              <w:bottom w:val="nil"/>
              <w:right w:val="nil"/>
            </w:tcBorders>
            <w:shd w:val="clear" w:color="auto" w:fill="auto"/>
            <w:noWrap/>
            <w:vAlign w:val="bottom"/>
            <w:hideMark/>
          </w:tcPr>
          <w:p w:rsidR="00C52598" w:rsidRDefault="00C52598" w:rsidP="00862F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37.301</w:t>
            </w:r>
          </w:p>
        </w:tc>
        <w:tc>
          <w:tcPr>
            <w:tcW w:w="1194" w:type="dxa"/>
            <w:tcBorders>
              <w:top w:val="nil"/>
              <w:left w:val="nil"/>
              <w:bottom w:val="nil"/>
              <w:right w:val="nil"/>
            </w:tcBorders>
            <w:shd w:val="clear" w:color="auto" w:fill="auto"/>
            <w:noWrap/>
            <w:vAlign w:val="bottom"/>
            <w:hideMark/>
          </w:tcPr>
          <w:p w:rsidR="00C52598" w:rsidRDefault="00C52598" w:rsidP="00862F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&lt;2.00E-16</w:t>
            </w:r>
          </w:p>
        </w:tc>
      </w:tr>
      <w:tr w:rsidR="00C52598" w:rsidRPr="00BC5D53" w:rsidTr="00862F0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80" w:type="dxa"/>
            <w:tcBorders>
              <w:top w:val="nil"/>
              <w:left w:val="nil"/>
              <w:bottom w:val="nil"/>
              <w:right w:val="nil"/>
            </w:tcBorders>
            <w:shd w:val="clear" w:color="auto" w:fill="auto"/>
            <w:noWrap/>
            <w:vAlign w:val="bottom"/>
            <w:hideMark/>
          </w:tcPr>
          <w:p w:rsidR="00C52598" w:rsidRPr="0022249D" w:rsidRDefault="00C52598" w:rsidP="00862F07">
            <w:pPr>
              <w:jc w:val="left"/>
              <w:rPr>
                <w:rFonts w:ascii="Calibri" w:hAnsi="Calibri"/>
                <w:i w:val="0"/>
                <w:color w:val="000000"/>
                <w:sz w:val="22"/>
                <w:szCs w:val="22"/>
              </w:rPr>
            </w:pPr>
            <w:proofErr w:type="spellStart"/>
            <w:r w:rsidRPr="0022249D">
              <w:rPr>
                <w:rFonts w:ascii="Calibri" w:hAnsi="Calibri"/>
                <w:i w:val="0"/>
                <w:color w:val="000000"/>
                <w:sz w:val="22"/>
                <w:szCs w:val="22"/>
              </w:rPr>
              <w:t>hdl</w:t>
            </w:r>
            <w:proofErr w:type="spellEnd"/>
          </w:p>
        </w:tc>
        <w:tc>
          <w:tcPr>
            <w:tcW w:w="1193" w:type="dxa"/>
            <w:tcBorders>
              <w:top w:val="nil"/>
              <w:left w:val="nil"/>
              <w:bottom w:val="nil"/>
              <w:right w:val="nil"/>
            </w:tcBorders>
            <w:shd w:val="clear" w:color="auto" w:fill="auto"/>
            <w:noWrap/>
            <w:vAlign w:val="bottom"/>
            <w:hideMark/>
          </w:tcPr>
          <w:p w:rsidR="00C52598" w:rsidRDefault="00C52598" w:rsidP="00862F0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-0.296</w:t>
            </w:r>
          </w:p>
        </w:tc>
        <w:tc>
          <w:tcPr>
            <w:tcW w:w="1194" w:type="dxa"/>
            <w:tcBorders>
              <w:top w:val="nil"/>
              <w:left w:val="nil"/>
              <w:bottom w:val="nil"/>
              <w:right w:val="nil"/>
            </w:tcBorders>
            <w:shd w:val="clear" w:color="auto" w:fill="auto"/>
            <w:noWrap/>
            <w:vAlign w:val="bottom"/>
            <w:hideMark/>
          </w:tcPr>
          <w:p w:rsidR="00C52598" w:rsidRDefault="00C52598" w:rsidP="00862F0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0.071</w:t>
            </w:r>
          </w:p>
        </w:tc>
        <w:tc>
          <w:tcPr>
            <w:tcW w:w="1193" w:type="dxa"/>
            <w:tcBorders>
              <w:top w:val="nil"/>
              <w:left w:val="nil"/>
              <w:bottom w:val="nil"/>
              <w:right w:val="nil"/>
            </w:tcBorders>
            <w:shd w:val="clear" w:color="auto" w:fill="auto"/>
            <w:noWrap/>
            <w:vAlign w:val="bottom"/>
            <w:hideMark/>
          </w:tcPr>
          <w:p w:rsidR="00C52598" w:rsidRDefault="00C52598" w:rsidP="00862F0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-4.193</w:t>
            </w:r>
          </w:p>
        </w:tc>
        <w:tc>
          <w:tcPr>
            <w:tcW w:w="1194" w:type="dxa"/>
            <w:tcBorders>
              <w:top w:val="nil"/>
              <w:left w:val="nil"/>
              <w:bottom w:val="nil"/>
              <w:right w:val="nil"/>
            </w:tcBorders>
            <w:shd w:val="clear" w:color="auto" w:fill="auto"/>
            <w:noWrap/>
            <w:vAlign w:val="bottom"/>
            <w:hideMark/>
          </w:tcPr>
          <w:p w:rsidR="00C52598" w:rsidRDefault="00C52598" w:rsidP="00862F0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2.88E-05</w:t>
            </w:r>
          </w:p>
        </w:tc>
      </w:tr>
      <w:tr w:rsidR="00C52598" w:rsidRPr="00BC5D53" w:rsidTr="00862F07">
        <w:trPr>
          <w:trHeight w:val="315"/>
          <w:jc w:val="center"/>
        </w:trPr>
        <w:tc>
          <w:tcPr>
            <w:cnfStyle w:val="001000000000" w:firstRow="0" w:lastRow="0" w:firstColumn="1" w:lastColumn="0" w:oddVBand="0" w:evenVBand="0" w:oddHBand="0" w:evenHBand="0" w:firstRowFirstColumn="0" w:firstRowLastColumn="0" w:lastRowFirstColumn="0" w:lastRowLastColumn="0"/>
            <w:tcW w:w="1180" w:type="dxa"/>
            <w:tcBorders>
              <w:top w:val="nil"/>
              <w:left w:val="nil"/>
              <w:bottom w:val="nil"/>
              <w:right w:val="nil"/>
            </w:tcBorders>
            <w:shd w:val="clear" w:color="auto" w:fill="auto"/>
            <w:noWrap/>
            <w:vAlign w:val="bottom"/>
            <w:hideMark/>
          </w:tcPr>
          <w:p w:rsidR="00C52598" w:rsidRPr="0022249D" w:rsidRDefault="00C52598" w:rsidP="00862F07">
            <w:pPr>
              <w:jc w:val="left"/>
              <w:rPr>
                <w:rFonts w:ascii="Calibri" w:hAnsi="Calibri"/>
                <w:i w:val="0"/>
                <w:color w:val="000000"/>
                <w:sz w:val="22"/>
                <w:szCs w:val="22"/>
              </w:rPr>
            </w:pPr>
            <w:proofErr w:type="spellStart"/>
            <w:r w:rsidRPr="0022249D">
              <w:rPr>
                <w:rFonts w:ascii="Calibri" w:hAnsi="Calibri"/>
                <w:i w:val="0"/>
                <w:color w:val="000000"/>
                <w:sz w:val="22"/>
                <w:szCs w:val="22"/>
              </w:rPr>
              <w:t>bmi</w:t>
            </w:r>
            <w:proofErr w:type="spellEnd"/>
          </w:p>
        </w:tc>
        <w:tc>
          <w:tcPr>
            <w:tcW w:w="1193" w:type="dxa"/>
            <w:tcBorders>
              <w:top w:val="nil"/>
              <w:left w:val="nil"/>
              <w:bottom w:val="nil"/>
              <w:right w:val="nil"/>
            </w:tcBorders>
            <w:shd w:val="clear" w:color="auto" w:fill="auto"/>
            <w:noWrap/>
            <w:vAlign w:val="bottom"/>
            <w:hideMark/>
          </w:tcPr>
          <w:p w:rsidR="00C52598" w:rsidRDefault="00C52598" w:rsidP="00862F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-0.041</w:t>
            </w:r>
          </w:p>
        </w:tc>
        <w:tc>
          <w:tcPr>
            <w:tcW w:w="1194" w:type="dxa"/>
            <w:tcBorders>
              <w:top w:val="nil"/>
              <w:left w:val="nil"/>
              <w:bottom w:val="nil"/>
              <w:right w:val="nil"/>
            </w:tcBorders>
            <w:shd w:val="clear" w:color="auto" w:fill="auto"/>
            <w:noWrap/>
            <w:vAlign w:val="bottom"/>
            <w:hideMark/>
          </w:tcPr>
          <w:p w:rsidR="00C52598" w:rsidRDefault="00C52598" w:rsidP="00862F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0.010</w:t>
            </w:r>
          </w:p>
        </w:tc>
        <w:tc>
          <w:tcPr>
            <w:tcW w:w="1193" w:type="dxa"/>
            <w:tcBorders>
              <w:top w:val="nil"/>
              <w:left w:val="nil"/>
              <w:bottom w:val="nil"/>
              <w:right w:val="nil"/>
            </w:tcBorders>
            <w:shd w:val="clear" w:color="auto" w:fill="auto"/>
            <w:noWrap/>
            <w:vAlign w:val="bottom"/>
            <w:hideMark/>
          </w:tcPr>
          <w:p w:rsidR="00C52598" w:rsidRDefault="00C52598" w:rsidP="00862F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-3.926</w:t>
            </w:r>
          </w:p>
        </w:tc>
        <w:tc>
          <w:tcPr>
            <w:tcW w:w="1194" w:type="dxa"/>
            <w:tcBorders>
              <w:top w:val="nil"/>
              <w:left w:val="nil"/>
              <w:bottom w:val="nil"/>
              <w:right w:val="nil"/>
            </w:tcBorders>
            <w:shd w:val="clear" w:color="auto" w:fill="auto"/>
            <w:noWrap/>
            <w:vAlign w:val="bottom"/>
            <w:hideMark/>
          </w:tcPr>
          <w:p w:rsidR="00C52598" w:rsidRDefault="00C52598" w:rsidP="00862F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8.96E-05</w:t>
            </w:r>
          </w:p>
        </w:tc>
      </w:tr>
      <w:tr w:rsidR="00C52598" w:rsidRPr="00BC5D53" w:rsidTr="00862F0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80" w:type="dxa"/>
            <w:tcBorders>
              <w:top w:val="nil"/>
              <w:left w:val="nil"/>
              <w:right w:val="nil"/>
            </w:tcBorders>
            <w:shd w:val="clear" w:color="auto" w:fill="auto"/>
            <w:noWrap/>
            <w:vAlign w:val="bottom"/>
            <w:hideMark/>
          </w:tcPr>
          <w:p w:rsidR="00C52598" w:rsidRPr="0022249D" w:rsidRDefault="00C52598" w:rsidP="00862F07">
            <w:pPr>
              <w:jc w:val="left"/>
              <w:rPr>
                <w:rFonts w:ascii="Calibri" w:hAnsi="Calibri"/>
                <w:i w:val="0"/>
                <w:color w:val="000000"/>
                <w:sz w:val="22"/>
                <w:szCs w:val="22"/>
              </w:rPr>
            </w:pPr>
            <w:proofErr w:type="spellStart"/>
            <w:r w:rsidRPr="0022249D">
              <w:rPr>
                <w:rFonts w:ascii="Calibri" w:hAnsi="Calibri"/>
                <w:i w:val="0"/>
                <w:color w:val="000000"/>
                <w:sz w:val="22"/>
                <w:szCs w:val="22"/>
              </w:rPr>
              <w:t>tcho</w:t>
            </w:r>
            <w:proofErr w:type="spellEnd"/>
          </w:p>
        </w:tc>
        <w:tc>
          <w:tcPr>
            <w:tcW w:w="1193" w:type="dxa"/>
            <w:tcBorders>
              <w:top w:val="nil"/>
              <w:left w:val="nil"/>
              <w:right w:val="nil"/>
            </w:tcBorders>
            <w:shd w:val="clear" w:color="auto" w:fill="auto"/>
            <w:noWrap/>
            <w:vAlign w:val="bottom"/>
            <w:hideMark/>
          </w:tcPr>
          <w:p w:rsidR="00C52598" w:rsidRDefault="00C52598" w:rsidP="00862F0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0.076</w:t>
            </w:r>
          </w:p>
        </w:tc>
        <w:tc>
          <w:tcPr>
            <w:tcW w:w="1194" w:type="dxa"/>
            <w:tcBorders>
              <w:top w:val="nil"/>
              <w:left w:val="nil"/>
              <w:right w:val="nil"/>
            </w:tcBorders>
            <w:shd w:val="clear" w:color="auto" w:fill="auto"/>
            <w:noWrap/>
            <w:vAlign w:val="bottom"/>
            <w:hideMark/>
          </w:tcPr>
          <w:p w:rsidR="00C52598" w:rsidRDefault="00C52598" w:rsidP="00862F0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0.032</w:t>
            </w:r>
          </w:p>
        </w:tc>
        <w:tc>
          <w:tcPr>
            <w:tcW w:w="1193" w:type="dxa"/>
            <w:tcBorders>
              <w:top w:val="nil"/>
              <w:left w:val="nil"/>
              <w:right w:val="nil"/>
            </w:tcBorders>
            <w:shd w:val="clear" w:color="auto" w:fill="auto"/>
            <w:noWrap/>
            <w:vAlign w:val="bottom"/>
            <w:hideMark/>
          </w:tcPr>
          <w:p w:rsidR="00C52598" w:rsidRDefault="00C52598" w:rsidP="00862F0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2.39</w:t>
            </w:r>
          </w:p>
        </w:tc>
        <w:tc>
          <w:tcPr>
            <w:tcW w:w="1194" w:type="dxa"/>
            <w:tcBorders>
              <w:top w:val="nil"/>
              <w:left w:val="nil"/>
              <w:right w:val="nil"/>
            </w:tcBorders>
            <w:shd w:val="clear" w:color="auto" w:fill="auto"/>
            <w:noWrap/>
            <w:vAlign w:val="bottom"/>
            <w:hideMark/>
          </w:tcPr>
          <w:p w:rsidR="00C52598" w:rsidRDefault="00C52598" w:rsidP="00862F0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0.0169</w:t>
            </w:r>
          </w:p>
        </w:tc>
      </w:tr>
      <w:tr w:rsidR="00C52598" w:rsidRPr="00BC5D53" w:rsidTr="00862F07">
        <w:trPr>
          <w:trHeight w:val="315"/>
          <w:jc w:val="center"/>
        </w:trPr>
        <w:tc>
          <w:tcPr>
            <w:cnfStyle w:val="001000000000" w:firstRow="0" w:lastRow="0" w:firstColumn="1" w:lastColumn="0" w:oddVBand="0" w:evenVBand="0" w:oddHBand="0" w:evenHBand="0" w:firstRowFirstColumn="0" w:firstRowLastColumn="0" w:lastRowFirstColumn="0" w:lastRowLastColumn="0"/>
            <w:tcW w:w="1180" w:type="dxa"/>
            <w:tcBorders>
              <w:top w:val="nil"/>
              <w:left w:val="nil"/>
              <w:bottom w:val="single" w:sz="4" w:space="0" w:color="auto"/>
              <w:right w:val="nil"/>
            </w:tcBorders>
            <w:shd w:val="clear" w:color="auto" w:fill="auto"/>
            <w:noWrap/>
            <w:vAlign w:val="bottom"/>
          </w:tcPr>
          <w:p w:rsidR="00C52598" w:rsidRPr="0022249D" w:rsidRDefault="00C52598" w:rsidP="00862F07">
            <w:pPr>
              <w:jc w:val="left"/>
              <w:rPr>
                <w:rFonts w:ascii="Calibri" w:hAnsi="Calibri"/>
                <w:i w:val="0"/>
                <w:color w:val="000000"/>
                <w:sz w:val="22"/>
                <w:szCs w:val="22"/>
              </w:rPr>
            </w:pPr>
            <w:r w:rsidRPr="0022249D">
              <w:rPr>
                <w:rFonts w:ascii="Calibri" w:hAnsi="Calibri"/>
                <w:i w:val="0"/>
                <w:color w:val="000000"/>
                <w:sz w:val="22"/>
                <w:szCs w:val="22"/>
              </w:rPr>
              <w:t>Age</w:t>
            </w:r>
          </w:p>
        </w:tc>
        <w:tc>
          <w:tcPr>
            <w:tcW w:w="1193" w:type="dxa"/>
            <w:tcBorders>
              <w:top w:val="nil"/>
              <w:left w:val="nil"/>
              <w:bottom w:val="single" w:sz="4" w:space="0" w:color="auto"/>
              <w:right w:val="nil"/>
            </w:tcBorders>
            <w:shd w:val="clear" w:color="auto" w:fill="auto"/>
            <w:noWrap/>
            <w:vAlign w:val="bottom"/>
          </w:tcPr>
          <w:p w:rsidR="00C52598" w:rsidRDefault="00C52598" w:rsidP="00862F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0.006</w:t>
            </w:r>
          </w:p>
        </w:tc>
        <w:tc>
          <w:tcPr>
            <w:tcW w:w="1194" w:type="dxa"/>
            <w:tcBorders>
              <w:top w:val="nil"/>
              <w:left w:val="nil"/>
              <w:bottom w:val="single" w:sz="4" w:space="0" w:color="auto"/>
              <w:right w:val="nil"/>
            </w:tcBorders>
            <w:shd w:val="clear" w:color="auto" w:fill="auto"/>
            <w:noWrap/>
            <w:vAlign w:val="bottom"/>
          </w:tcPr>
          <w:p w:rsidR="00C52598" w:rsidRDefault="00C52598" w:rsidP="00862F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0.003</w:t>
            </w:r>
          </w:p>
        </w:tc>
        <w:tc>
          <w:tcPr>
            <w:tcW w:w="1193" w:type="dxa"/>
            <w:tcBorders>
              <w:top w:val="nil"/>
              <w:left w:val="nil"/>
              <w:bottom w:val="single" w:sz="4" w:space="0" w:color="auto"/>
              <w:right w:val="nil"/>
            </w:tcBorders>
            <w:shd w:val="clear" w:color="auto" w:fill="auto"/>
            <w:noWrap/>
            <w:vAlign w:val="bottom"/>
          </w:tcPr>
          <w:p w:rsidR="00C52598" w:rsidRDefault="00C52598" w:rsidP="00862F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2.29</w:t>
            </w:r>
          </w:p>
        </w:tc>
        <w:tc>
          <w:tcPr>
            <w:tcW w:w="1194" w:type="dxa"/>
            <w:tcBorders>
              <w:top w:val="nil"/>
              <w:left w:val="nil"/>
              <w:bottom w:val="single" w:sz="4" w:space="0" w:color="auto"/>
              <w:right w:val="nil"/>
            </w:tcBorders>
            <w:shd w:val="clear" w:color="auto" w:fill="auto"/>
            <w:noWrap/>
            <w:vAlign w:val="bottom"/>
          </w:tcPr>
          <w:p w:rsidR="00C52598" w:rsidRDefault="00C52598" w:rsidP="00862F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0.0221</w:t>
            </w:r>
          </w:p>
        </w:tc>
      </w:tr>
    </w:tbl>
    <w:p w:rsidR="00C52598" w:rsidRDefault="00C52598" w:rsidP="00C52598"/>
    <w:p w:rsidR="00C52598" w:rsidRDefault="00C52598" w:rsidP="00C52598"/>
    <w:p w:rsidR="00C52598" w:rsidRDefault="00C52598" w:rsidP="00C52598">
      <w:pPr>
        <w:tabs>
          <w:tab w:val="left" w:pos="0"/>
        </w:tabs>
        <w:jc w:val="center"/>
      </w:pPr>
      <w:r>
        <w:rPr>
          <w:noProof/>
          <w:lang w:eastAsia="zh-CN"/>
        </w:rPr>
        <w:drawing>
          <wp:inline distT="0" distB="0" distL="0" distR="0" wp14:anchorId="475149F0" wp14:editId="148E604B">
            <wp:extent cx="4581525" cy="5250735"/>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3801" cy="5276265"/>
                    </a:xfrm>
                    <a:prstGeom prst="rect">
                      <a:avLst/>
                    </a:prstGeom>
                    <a:noFill/>
                    <a:ln>
                      <a:noFill/>
                    </a:ln>
                  </pic:spPr>
                </pic:pic>
              </a:graphicData>
            </a:graphic>
          </wp:inline>
        </w:drawing>
      </w:r>
    </w:p>
    <w:p w:rsidR="00C52598" w:rsidRDefault="00C52598" w:rsidP="00C52598">
      <w:pPr>
        <w:ind w:left="284"/>
        <w:rPr>
          <w:b/>
          <w:sz w:val="22"/>
        </w:rPr>
      </w:pPr>
      <w:r w:rsidRPr="00322199">
        <w:rPr>
          <w:b/>
          <w:sz w:val="22"/>
        </w:rPr>
        <w:t xml:space="preserve">Figure </w:t>
      </w:r>
      <w:r w:rsidR="00DD7DCE">
        <w:rPr>
          <w:b/>
          <w:sz w:val="22"/>
        </w:rPr>
        <w:t>3</w:t>
      </w:r>
      <w:r>
        <w:rPr>
          <w:b/>
          <w:sz w:val="22"/>
        </w:rPr>
        <w:t>. Diagnostic plot of the forward selected model: a) residuals vs. fitted value; b) normal quantile plot of the standardized residuals; c) standardized residuals vs. fitted value; d) Cook’s distance of the observations; e) Component residual plot for FBG; f) Component residual plot for BMI</w:t>
      </w:r>
    </w:p>
    <w:p w:rsidR="00C52598" w:rsidRDefault="00C52598" w:rsidP="00C52598">
      <w:pPr>
        <w:ind w:left="284"/>
      </w:pPr>
    </w:p>
    <w:p w:rsidR="00C52598" w:rsidRDefault="00C52598" w:rsidP="00C52598">
      <w:pPr>
        <w:ind w:left="426"/>
      </w:pPr>
      <w:r>
        <w:t xml:space="preserve">A set of plots is used to check the model assumption. In Figure </w:t>
      </w:r>
      <w:r w:rsidR="00DD7DCE">
        <w:t>3</w:t>
      </w:r>
      <w:r>
        <w:t xml:space="preserve">a, the variance of the residuals is increased with the increase of the fitted value. The assumption of the homogeneity variance is not satisfied. Figure </w:t>
      </w:r>
      <w:r w:rsidR="00DD7DCE">
        <w:t>3</w:t>
      </w:r>
      <w:r>
        <w:t xml:space="preserve">c provides another evidence for the violation of homogeneity variance, in which the square root of the standardized residual is correlated with the fitted values. Figure 4e and </w:t>
      </w:r>
      <w:r w:rsidR="00DD7DCE">
        <w:t>3</w:t>
      </w:r>
      <w:r>
        <w:t xml:space="preserve">f are the component residual plot for FBG and BMI to check their linear relationship with HBA1C. The fitted line closely lies along the expected lines (dash line). The linear relationship is not violated. Figure </w:t>
      </w:r>
      <w:r w:rsidR="00DD7DCE">
        <w:t>3</w:t>
      </w:r>
      <w:r>
        <w:t xml:space="preserve">b is the normal Q-Q plot of the standardized residuals. Under the assumption of normally distributed residuals, the points in the Figure </w:t>
      </w:r>
      <w:r w:rsidR="00DD7DCE">
        <w:t>3</w:t>
      </w:r>
      <w:r>
        <w:t xml:space="preserve">b should </w:t>
      </w:r>
      <w:r>
        <w:lastRenderedPageBreak/>
        <w:t>lie along the dash line. The deviation of the fitted points from the expected line indicates the assumption of the normal distributed residuals is not satisfied.</w:t>
      </w:r>
    </w:p>
    <w:p w:rsidR="00DD7DCE" w:rsidRDefault="00DD7DCE" w:rsidP="00C52598">
      <w:pPr>
        <w:ind w:left="426"/>
      </w:pPr>
    </w:p>
    <w:p w:rsidR="00C52598" w:rsidRDefault="00C52598" w:rsidP="00C52598">
      <w:pPr>
        <w:pStyle w:val="ListParagraph"/>
        <w:numPr>
          <w:ilvl w:val="0"/>
          <w:numId w:val="3"/>
        </w:numPr>
        <w:ind w:left="426"/>
      </w:pPr>
      <w:r>
        <w:t>Using the Box-Cox transformations for l</w:t>
      </w:r>
      <w:r w:rsidRPr="00A703D6">
        <w:t xml:space="preserve">inear </w:t>
      </w:r>
      <w:r>
        <w:t>m</w:t>
      </w:r>
      <w:r w:rsidRPr="00A703D6">
        <w:t>odels</w:t>
      </w:r>
      <w:r>
        <w:t xml:space="preserve">, HBA1C is transformed by </w:t>
      </w:r>
      <w:r w:rsidR="00163BE4">
        <w:t>the Box-Cox transformation with</w:t>
      </w:r>
      <w:r>
        <w:t xml:space="preserve"> the power of -1.75, which is found by the profile log-likelihoods (using R function </w:t>
      </w:r>
      <w:proofErr w:type="spellStart"/>
      <w:proofErr w:type="gramStart"/>
      <w:r>
        <w:t>box</w:t>
      </w:r>
      <w:r w:rsidR="00F057EE">
        <w:t>C</w:t>
      </w:r>
      <w:r>
        <w:t>ox</w:t>
      </w:r>
      <w:proofErr w:type="spellEnd"/>
      <w:r>
        <w:t>(</w:t>
      </w:r>
      <w:proofErr w:type="gramEnd"/>
      <w:r>
        <w:t>)). After the transformation, the forward model selection by AIC produces a new regression model with all variables included. The overall model is statistically significant with F-test p-value &lt; 2.2e-16. It explains ~49.4% (adjusted R squares) variance of the HBA1C.</w:t>
      </w:r>
    </w:p>
    <w:p w:rsidR="00C52598" w:rsidRDefault="00C52598" w:rsidP="00C52598">
      <w:pPr>
        <w:pStyle w:val="ListParagraph"/>
        <w:ind w:left="426"/>
      </w:pPr>
    </w:p>
    <w:p w:rsidR="00C52598" w:rsidRDefault="00C52598" w:rsidP="00C52598">
      <w:pPr>
        <w:pStyle w:val="ListParagraph"/>
        <w:ind w:left="426"/>
      </w:pPr>
      <w:r>
        <w:t>The regression coefficients are summarized in Table 4. After adjusting the other covariates, FBG, TG</w:t>
      </w:r>
      <w:r w:rsidR="00F057EE">
        <w:t>, HDL, AGE, SEX,</w:t>
      </w:r>
      <w:r>
        <w:t xml:space="preserve"> and </w:t>
      </w:r>
      <w:r w:rsidR="00F057EE">
        <w:t>LDL</w:t>
      </w:r>
      <w:r>
        <w:t xml:space="preserve"> are significantly associated with HBA1C at significance level of 0.05. </w:t>
      </w:r>
    </w:p>
    <w:p w:rsidR="00F057EE" w:rsidRDefault="00F057EE" w:rsidP="00C52598">
      <w:pPr>
        <w:pStyle w:val="ListParagraph"/>
        <w:ind w:left="426"/>
      </w:pPr>
    </w:p>
    <w:p w:rsidR="00C52598" w:rsidRPr="00BC5D53" w:rsidRDefault="00C52598" w:rsidP="00C52598">
      <w:pPr>
        <w:pStyle w:val="ListParagraph"/>
        <w:spacing w:after="120"/>
        <w:ind w:left="0"/>
        <w:jc w:val="center"/>
        <w:rPr>
          <w:b/>
          <w:sz w:val="22"/>
        </w:rPr>
      </w:pPr>
      <w:r>
        <w:rPr>
          <w:b/>
          <w:sz w:val="22"/>
        </w:rPr>
        <w:t>Table 4.</w:t>
      </w:r>
      <w:r w:rsidRPr="00A02E79">
        <w:rPr>
          <w:b/>
          <w:sz w:val="22"/>
        </w:rPr>
        <w:t xml:space="preserve"> Summary for the </w:t>
      </w:r>
      <w:r w:rsidRPr="00BC5D53">
        <w:rPr>
          <w:b/>
          <w:sz w:val="22"/>
        </w:rPr>
        <w:t>multiple linear regression</w:t>
      </w:r>
      <w:r>
        <w:rPr>
          <w:b/>
          <w:sz w:val="22"/>
        </w:rPr>
        <w:t xml:space="preserve"> coefficients for transformed data</w:t>
      </w:r>
    </w:p>
    <w:tbl>
      <w:tblPr>
        <w:tblStyle w:val="PlainTable5"/>
        <w:tblW w:w="4761" w:type="dxa"/>
        <w:jc w:val="center"/>
        <w:tblLayout w:type="fixed"/>
        <w:tblLook w:val="04A0" w:firstRow="1" w:lastRow="0" w:firstColumn="1" w:lastColumn="0" w:noHBand="0" w:noVBand="1"/>
      </w:tblPr>
      <w:tblGrid>
        <w:gridCol w:w="1180"/>
        <w:gridCol w:w="1193"/>
        <w:gridCol w:w="1194"/>
        <w:gridCol w:w="1194"/>
      </w:tblGrid>
      <w:tr w:rsidR="00F057EE" w:rsidRPr="00BC5D53" w:rsidTr="00F057EE">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1180" w:type="dxa"/>
            <w:tcBorders>
              <w:top w:val="single" w:sz="4" w:space="0" w:color="auto"/>
            </w:tcBorders>
            <w:noWrap/>
            <w:hideMark/>
          </w:tcPr>
          <w:p w:rsidR="00F057EE" w:rsidRPr="00BC5D53" w:rsidRDefault="00F057EE" w:rsidP="00862F07">
            <w:pPr>
              <w:rPr>
                <w:rFonts w:eastAsia="Times New Roman"/>
                <w:i w:val="0"/>
                <w:sz w:val="20"/>
                <w:szCs w:val="24"/>
                <w:lang w:eastAsia="zh-CN"/>
              </w:rPr>
            </w:pPr>
          </w:p>
        </w:tc>
        <w:tc>
          <w:tcPr>
            <w:tcW w:w="1193" w:type="dxa"/>
            <w:tcBorders>
              <w:top w:val="single" w:sz="4" w:space="0" w:color="auto"/>
            </w:tcBorders>
            <w:noWrap/>
            <w:hideMark/>
          </w:tcPr>
          <w:p w:rsidR="00F057EE" w:rsidRPr="00BC5D53" w:rsidRDefault="00F057EE" w:rsidP="00862F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i w:val="0"/>
                <w:color w:val="000000"/>
                <w:sz w:val="22"/>
                <w:szCs w:val="22"/>
                <w:lang w:eastAsia="zh-CN"/>
              </w:rPr>
            </w:pPr>
            <w:r w:rsidRPr="00BC5D53">
              <w:rPr>
                <w:rFonts w:ascii="Calibri" w:eastAsia="Times New Roman" w:hAnsi="Calibri"/>
                <w:i w:val="0"/>
                <w:color w:val="000000"/>
                <w:sz w:val="22"/>
                <w:szCs w:val="22"/>
                <w:lang w:eastAsia="zh-CN"/>
              </w:rPr>
              <w:t>Estimate</w:t>
            </w:r>
          </w:p>
        </w:tc>
        <w:tc>
          <w:tcPr>
            <w:tcW w:w="1194" w:type="dxa"/>
            <w:tcBorders>
              <w:top w:val="single" w:sz="4" w:space="0" w:color="auto"/>
            </w:tcBorders>
            <w:noWrap/>
            <w:hideMark/>
          </w:tcPr>
          <w:p w:rsidR="00F057EE" w:rsidRPr="00BC5D53" w:rsidRDefault="00F057EE" w:rsidP="00862F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i w:val="0"/>
                <w:color w:val="000000"/>
                <w:sz w:val="22"/>
                <w:szCs w:val="22"/>
                <w:lang w:eastAsia="zh-CN"/>
              </w:rPr>
            </w:pPr>
            <w:r w:rsidRPr="00BC5D53">
              <w:rPr>
                <w:rFonts w:ascii="Calibri" w:eastAsia="Times New Roman" w:hAnsi="Calibri"/>
                <w:i w:val="0"/>
                <w:color w:val="000000"/>
                <w:sz w:val="22"/>
                <w:szCs w:val="22"/>
                <w:lang w:eastAsia="zh-CN"/>
              </w:rPr>
              <w:t>Std. Error</w:t>
            </w:r>
          </w:p>
        </w:tc>
        <w:tc>
          <w:tcPr>
            <w:tcW w:w="1194" w:type="dxa"/>
            <w:tcBorders>
              <w:top w:val="single" w:sz="4" w:space="0" w:color="auto"/>
            </w:tcBorders>
            <w:noWrap/>
            <w:hideMark/>
          </w:tcPr>
          <w:p w:rsidR="00F057EE" w:rsidRPr="00BC5D53" w:rsidRDefault="00F057EE" w:rsidP="00862F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i w:val="0"/>
                <w:color w:val="000000"/>
                <w:sz w:val="22"/>
                <w:szCs w:val="22"/>
                <w:lang w:eastAsia="zh-CN"/>
              </w:rPr>
            </w:pPr>
            <w:r>
              <w:rPr>
                <w:rFonts w:ascii="Calibri" w:eastAsia="Times New Roman" w:hAnsi="Calibri"/>
                <w:i w:val="0"/>
                <w:color w:val="000000"/>
                <w:sz w:val="22"/>
                <w:szCs w:val="22"/>
                <w:lang w:eastAsia="zh-CN"/>
              </w:rPr>
              <w:t>p-value</w:t>
            </w:r>
          </w:p>
        </w:tc>
      </w:tr>
      <w:tr w:rsidR="00F057EE" w:rsidRPr="00BC5D53" w:rsidTr="00535B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80" w:type="dxa"/>
            <w:tcBorders>
              <w:top w:val="nil"/>
              <w:left w:val="nil"/>
              <w:bottom w:val="nil"/>
              <w:right w:val="nil"/>
            </w:tcBorders>
            <w:shd w:val="clear" w:color="auto" w:fill="auto"/>
            <w:noWrap/>
            <w:vAlign w:val="center"/>
            <w:hideMark/>
          </w:tcPr>
          <w:p w:rsidR="00F057EE" w:rsidRPr="00F057EE" w:rsidRDefault="00F057EE" w:rsidP="00F057EE">
            <w:pPr>
              <w:jc w:val="center"/>
              <w:rPr>
                <w:rFonts w:ascii="Calibri" w:hAnsi="Calibri"/>
                <w:i w:val="0"/>
                <w:color w:val="000000"/>
                <w:sz w:val="22"/>
                <w:szCs w:val="22"/>
              </w:rPr>
            </w:pPr>
            <w:r w:rsidRPr="00F057EE">
              <w:rPr>
                <w:rFonts w:ascii="Calibri" w:hAnsi="Calibri"/>
                <w:i w:val="0"/>
                <w:color w:val="000000"/>
                <w:sz w:val="22"/>
                <w:szCs w:val="22"/>
              </w:rPr>
              <w:t>(Intercept)</w:t>
            </w:r>
          </w:p>
        </w:tc>
        <w:tc>
          <w:tcPr>
            <w:tcW w:w="1193" w:type="dxa"/>
            <w:tcBorders>
              <w:top w:val="nil"/>
              <w:left w:val="nil"/>
              <w:bottom w:val="nil"/>
              <w:right w:val="nil"/>
            </w:tcBorders>
            <w:shd w:val="clear" w:color="auto" w:fill="auto"/>
            <w:noWrap/>
            <w:vAlign w:val="center"/>
            <w:hideMark/>
          </w:tcPr>
          <w:p w:rsidR="00F057EE" w:rsidRPr="00F057EE" w:rsidRDefault="00F057EE" w:rsidP="00F057EE">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0.53091</w:t>
            </w:r>
          </w:p>
        </w:tc>
        <w:tc>
          <w:tcPr>
            <w:tcW w:w="1194" w:type="dxa"/>
            <w:tcBorders>
              <w:top w:val="nil"/>
              <w:left w:val="nil"/>
              <w:bottom w:val="nil"/>
              <w:right w:val="nil"/>
            </w:tcBorders>
            <w:shd w:val="clear" w:color="auto" w:fill="auto"/>
            <w:noWrap/>
            <w:vAlign w:val="center"/>
            <w:hideMark/>
          </w:tcPr>
          <w:p w:rsidR="00F057EE" w:rsidRPr="00F057EE" w:rsidRDefault="00F057EE" w:rsidP="00F057EE">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0.00137</w:t>
            </w:r>
          </w:p>
        </w:tc>
        <w:tc>
          <w:tcPr>
            <w:tcW w:w="1194" w:type="dxa"/>
            <w:tcBorders>
              <w:top w:val="nil"/>
              <w:left w:val="nil"/>
              <w:bottom w:val="nil"/>
              <w:right w:val="nil"/>
            </w:tcBorders>
            <w:shd w:val="clear" w:color="auto" w:fill="auto"/>
            <w:noWrap/>
            <w:hideMark/>
          </w:tcPr>
          <w:p w:rsidR="00F057EE" w:rsidRPr="00F057EE" w:rsidRDefault="00F057EE" w:rsidP="00F057EE">
            <w:pPr>
              <w:cnfStyle w:val="000000100000" w:firstRow="0" w:lastRow="0" w:firstColumn="0" w:lastColumn="0" w:oddVBand="0" w:evenVBand="0" w:oddHBand="1" w:evenHBand="0" w:firstRowFirstColumn="0" w:firstRowLastColumn="0" w:lastRowFirstColumn="0" w:lastRowLastColumn="0"/>
              <w:rPr>
                <w:rFonts w:ascii="Calibri" w:eastAsiaTheme="majorEastAsia" w:hAnsi="Calibri"/>
                <w:iCs/>
                <w:color w:val="000000"/>
                <w:sz w:val="22"/>
                <w:szCs w:val="22"/>
              </w:rPr>
            </w:pPr>
            <w:r>
              <w:rPr>
                <w:rFonts w:ascii="Calibri" w:eastAsiaTheme="majorEastAsia" w:hAnsi="Calibri"/>
                <w:iCs/>
                <w:color w:val="000000"/>
                <w:sz w:val="22"/>
                <w:szCs w:val="22"/>
              </w:rPr>
              <w:t>&lt;2e-16</w:t>
            </w:r>
          </w:p>
        </w:tc>
      </w:tr>
      <w:tr w:rsidR="00F057EE" w:rsidRPr="00BC5D53" w:rsidTr="00535B0A">
        <w:trPr>
          <w:trHeight w:val="315"/>
          <w:jc w:val="center"/>
        </w:trPr>
        <w:tc>
          <w:tcPr>
            <w:cnfStyle w:val="001000000000" w:firstRow="0" w:lastRow="0" w:firstColumn="1" w:lastColumn="0" w:oddVBand="0" w:evenVBand="0" w:oddHBand="0" w:evenHBand="0" w:firstRowFirstColumn="0" w:firstRowLastColumn="0" w:lastRowFirstColumn="0" w:lastRowLastColumn="0"/>
            <w:tcW w:w="1180" w:type="dxa"/>
            <w:tcBorders>
              <w:top w:val="nil"/>
              <w:left w:val="nil"/>
              <w:bottom w:val="nil"/>
              <w:right w:val="nil"/>
            </w:tcBorders>
            <w:shd w:val="clear" w:color="auto" w:fill="auto"/>
            <w:noWrap/>
            <w:vAlign w:val="center"/>
            <w:hideMark/>
          </w:tcPr>
          <w:p w:rsidR="00F057EE" w:rsidRPr="00F057EE" w:rsidRDefault="00F057EE" w:rsidP="00F057EE">
            <w:pPr>
              <w:jc w:val="center"/>
              <w:rPr>
                <w:rFonts w:ascii="Calibri" w:hAnsi="Calibri"/>
                <w:i w:val="0"/>
                <w:color w:val="000000"/>
                <w:sz w:val="22"/>
                <w:szCs w:val="22"/>
              </w:rPr>
            </w:pPr>
            <w:proofErr w:type="spellStart"/>
            <w:r w:rsidRPr="00F057EE">
              <w:rPr>
                <w:rFonts w:ascii="Calibri" w:hAnsi="Calibri"/>
                <w:i w:val="0"/>
                <w:color w:val="000000"/>
                <w:sz w:val="22"/>
                <w:szCs w:val="22"/>
              </w:rPr>
              <w:t>fbg</w:t>
            </w:r>
            <w:proofErr w:type="spellEnd"/>
          </w:p>
        </w:tc>
        <w:tc>
          <w:tcPr>
            <w:tcW w:w="1193" w:type="dxa"/>
            <w:tcBorders>
              <w:top w:val="nil"/>
              <w:left w:val="nil"/>
              <w:bottom w:val="nil"/>
              <w:right w:val="nil"/>
            </w:tcBorders>
            <w:shd w:val="clear" w:color="auto" w:fill="auto"/>
            <w:noWrap/>
            <w:vAlign w:val="center"/>
            <w:hideMark/>
          </w:tcPr>
          <w:p w:rsidR="00F057EE" w:rsidRPr="00F057EE" w:rsidRDefault="00F057EE" w:rsidP="00F057EE">
            <w:pPr>
              <w:jc w:val="center"/>
              <w:cnfStyle w:val="000000000000" w:firstRow="0" w:lastRow="0" w:firstColumn="0" w:lastColumn="0" w:oddVBand="0" w:evenVBand="0" w:oddHBand="0"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0.00205</w:t>
            </w:r>
          </w:p>
        </w:tc>
        <w:tc>
          <w:tcPr>
            <w:tcW w:w="1194" w:type="dxa"/>
            <w:tcBorders>
              <w:top w:val="nil"/>
              <w:left w:val="nil"/>
              <w:bottom w:val="nil"/>
              <w:right w:val="nil"/>
            </w:tcBorders>
            <w:shd w:val="clear" w:color="auto" w:fill="auto"/>
            <w:noWrap/>
            <w:vAlign w:val="center"/>
            <w:hideMark/>
          </w:tcPr>
          <w:p w:rsidR="00F057EE" w:rsidRPr="00F057EE" w:rsidRDefault="00F057EE" w:rsidP="00F057EE">
            <w:pPr>
              <w:jc w:val="center"/>
              <w:cnfStyle w:val="000000000000" w:firstRow="0" w:lastRow="0" w:firstColumn="0" w:lastColumn="0" w:oddVBand="0" w:evenVBand="0" w:oddHBand="0"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0.00006</w:t>
            </w:r>
          </w:p>
        </w:tc>
        <w:tc>
          <w:tcPr>
            <w:tcW w:w="1194" w:type="dxa"/>
            <w:tcBorders>
              <w:top w:val="nil"/>
              <w:left w:val="nil"/>
              <w:bottom w:val="nil"/>
              <w:right w:val="nil"/>
            </w:tcBorders>
            <w:shd w:val="clear" w:color="auto" w:fill="auto"/>
            <w:noWrap/>
            <w:hideMark/>
          </w:tcPr>
          <w:p w:rsidR="00F057EE" w:rsidRPr="00F057EE" w:rsidRDefault="00F057EE" w:rsidP="00F057EE">
            <w:pPr>
              <w:cnfStyle w:val="000000000000" w:firstRow="0" w:lastRow="0" w:firstColumn="0" w:lastColumn="0" w:oddVBand="0" w:evenVBand="0" w:oddHBand="0"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9.02E-206</w:t>
            </w:r>
          </w:p>
        </w:tc>
      </w:tr>
      <w:tr w:rsidR="00F057EE" w:rsidRPr="00BC5D53" w:rsidTr="00535B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80" w:type="dxa"/>
            <w:tcBorders>
              <w:top w:val="nil"/>
              <w:left w:val="nil"/>
              <w:bottom w:val="nil"/>
              <w:right w:val="nil"/>
            </w:tcBorders>
            <w:shd w:val="clear" w:color="auto" w:fill="auto"/>
            <w:noWrap/>
            <w:vAlign w:val="center"/>
            <w:hideMark/>
          </w:tcPr>
          <w:p w:rsidR="00F057EE" w:rsidRPr="00F057EE" w:rsidRDefault="00F057EE" w:rsidP="00F057EE">
            <w:pPr>
              <w:jc w:val="center"/>
              <w:rPr>
                <w:rFonts w:ascii="Calibri" w:hAnsi="Calibri"/>
                <w:i w:val="0"/>
                <w:color w:val="000000"/>
                <w:sz w:val="22"/>
                <w:szCs w:val="22"/>
              </w:rPr>
            </w:pPr>
            <w:proofErr w:type="spellStart"/>
            <w:r w:rsidRPr="00F057EE">
              <w:rPr>
                <w:rFonts w:ascii="Calibri" w:hAnsi="Calibri"/>
                <w:i w:val="0"/>
                <w:color w:val="000000"/>
                <w:sz w:val="22"/>
                <w:szCs w:val="22"/>
              </w:rPr>
              <w:t>tg</w:t>
            </w:r>
            <w:proofErr w:type="spellEnd"/>
          </w:p>
        </w:tc>
        <w:tc>
          <w:tcPr>
            <w:tcW w:w="1193" w:type="dxa"/>
            <w:tcBorders>
              <w:top w:val="nil"/>
              <w:left w:val="nil"/>
              <w:bottom w:val="nil"/>
              <w:right w:val="nil"/>
            </w:tcBorders>
            <w:shd w:val="clear" w:color="auto" w:fill="auto"/>
            <w:noWrap/>
            <w:vAlign w:val="center"/>
            <w:hideMark/>
          </w:tcPr>
          <w:p w:rsidR="00F057EE" w:rsidRPr="00F057EE" w:rsidRDefault="00F057EE" w:rsidP="00F057EE">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0.00057</w:t>
            </w:r>
          </w:p>
        </w:tc>
        <w:tc>
          <w:tcPr>
            <w:tcW w:w="1194" w:type="dxa"/>
            <w:tcBorders>
              <w:top w:val="nil"/>
              <w:left w:val="nil"/>
              <w:bottom w:val="nil"/>
              <w:right w:val="nil"/>
            </w:tcBorders>
            <w:shd w:val="clear" w:color="auto" w:fill="auto"/>
            <w:noWrap/>
            <w:vAlign w:val="center"/>
            <w:hideMark/>
          </w:tcPr>
          <w:p w:rsidR="00F057EE" w:rsidRPr="00F057EE" w:rsidRDefault="00F057EE" w:rsidP="00F057EE">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0.00017</w:t>
            </w:r>
          </w:p>
        </w:tc>
        <w:tc>
          <w:tcPr>
            <w:tcW w:w="1194" w:type="dxa"/>
            <w:tcBorders>
              <w:top w:val="nil"/>
              <w:left w:val="nil"/>
              <w:bottom w:val="nil"/>
              <w:right w:val="nil"/>
            </w:tcBorders>
            <w:shd w:val="clear" w:color="auto" w:fill="auto"/>
            <w:noWrap/>
            <w:hideMark/>
          </w:tcPr>
          <w:p w:rsidR="00F057EE" w:rsidRPr="00F057EE" w:rsidRDefault="00F057EE" w:rsidP="00F057EE">
            <w:pPr>
              <w:cnfStyle w:val="000000100000" w:firstRow="0" w:lastRow="0" w:firstColumn="0" w:lastColumn="0" w:oddVBand="0" w:evenVBand="0" w:oddHBand="1"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6.67E-04</w:t>
            </w:r>
          </w:p>
        </w:tc>
      </w:tr>
      <w:tr w:rsidR="00F057EE" w:rsidRPr="00BC5D53" w:rsidTr="00535B0A">
        <w:trPr>
          <w:trHeight w:val="315"/>
          <w:jc w:val="center"/>
        </w:trPr>
        <w:tc>
          <w:tcPr>
            <w:cnfStyle w:val="001000000000" w:firstRow="0" w:lastRow="0" w:firstColumn="1" w:lastColumn="0" w:oddVBand="0" w:evenVBand="0" w:oddHBand="0" w:evenHBand="0" w:firstRowFirstColumn="0" w:firstRowLastColumn="0" w:lastRowFirstColumn="0" w:lastRowLastColumn="0"/>
            <w:tcW w:w="1180" w:type="dxa"/>
            <w:tcBorders>
              <w:top w:val="nil"/>
              <w:left w:val="nil"/>
              <w:bottom w:val="nil"/>
              <w:right w:val="nil"/>
            </w:tcBorders>
            <w:shd w:val="clear" w:color="auto" w:fill="auto"/>
            <w:noWrap/>
            <w:vAlign w:val="center"/>
            <w:hideMark/>
          </w:tcPr>
          <w:p w:rsidR="00F057EE" w:rsidRPr="00F057EE" w:rsidRDefault="00F057EE" w:rsidP="00F057EE">
            <w:pPr>
              <w:jc w:val="center"/>
              <w:rPr>
                <w:rFonts w:ascii="Calibri" w:hAnsi="Calibri"/>
                <w:i w:val="0"/>
                <w:color w:val="000000"/>
                <w:sz w:val="22"/>
                <w:szCs w:val="22"/>
              </w:rPr>
            </w:pPr>
            <w:proofErr w:type="spellStart"/>
            <w:r w:rsidRPr="00F057EE">
              <w:rPr>
                <w:rFonts w:ascii="Calibri" w:hAnsi="Calibri"/>
                <w:i w:val="0"/>
                <w:color w:val="000000"/>
                <w:sz w:val="22"/>
                <w:szCs w:val="22"/>
              </w:rPr>
              <w:t>hdl</w:t>
            </w:r>
            <w:proofErr w:type="spellEnd"/>
          </w:p>
        </w:tc>
        <w:tc>
          <w:tcPr>
            <w:tcW w:w="1193" w:type="dxa"/>
            <w:tcBorders>
              <w:top w:val="nil"/>
              <w:left w:val="nil"/>
              <w:bottom w:val="nil"/>
              <w:right w:val="nil"/>
            </w:tcBorders>
            <w:shd w:val="clear" w:color="auto" w:fill="auto"/>
            <w:noWrap/>
            <w:vAlign w:val="center"/>
            <w:hideMark/>
          </w:tcPr>
          <w:p w:rsidR="00F057EE" w:rsidRPr="00F057EE" w:rsidRDefault="00F057EE" w:rsidP="00F057EE">
            <w:pPr>
              <w:jc w:val="center"/>
              <w:cnfStyle w:val="000000000000" w:firstRow="0" w:lastRow="0" w:firstColumn="0" w:lastColumn="0" w:oddVBand="0" w:evenVBand="0" w:oddHBand="0"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-0.00092</w:t>
            </w:r>
          </w:p>
        </w:tc>
        <w:tc>
          <w:tcPr>
            <w:tcW w:w="1194" w:type="dxa"/>
            <w:tcBorders>
              <w:top w:val="nil"/>
              <w:left w:val="nil"/>
              <w:bottom w:val="nil"/>
              <w:right w:val="nil"/>
            </w:tcBorders>
            <w:shd w:val="clear" w:color="auto" w:fill="auto"/>
            <w:noWrap/>
            <w:vAlign w:val="center"/>
            <w:hideMark/>
          </w:tcPr>
          <w:p w:rsidR="00F057EE" w:rsidRPr="00F057EE" w:rsidRDefault="00F057EE" w:rsidP="00F057EE">
            <w:pPr>
              <w:jc w:val="center"/>
              <w:cnfStyle w:val="000000000000" w:firstRow="0" w:lastRow="0" w:firstColumn="0" w:lastColumn="0" w:oddVBand="0" w:evenVBand="0" w:oddHBand="0"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0.00031</w:t>
            </w:r>
          </w:p>
        </w:tc>
        <w:tc>
          <w:tcPr>
            <w:tcW w:w="1194" w:type="dxa"/>
            <w:tcBorders>
              <w:top w:val="nil"/>
              <w:left w:val="nil"/>
              <w:bottom w:val="nil"/>
              <w:right w:val="nil"/>
            </w:tcBorders>
            <w:shd w:val="clear" w:color="auto" w:fill="auto"/>
            <w:noWrap/>
            <w:hideMark/>
          </w:tcPr>
          <w:p w:rsidR="00F057EE" w:rsidRPr="00F057EE" w:rsidRDefault="00F057EE" w:rsidP="00F057EE">
            <w:pPr>
              <w:cnfStyle w:val="000000000000" w:firstRow="0" w:lastRow="0" w:firstColumn="0" w:lastColumn="0" w:oddVBand="0" w:evenVBand="0" w:oddHBand="0"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2.69E-03</w:t>
            </w:r>
          </w:p>
        </w:tc>
      </w:tr>
      <w:tr w:rsidR="00F057EE" w:rsidRPr="00BC5D53" w:rsidTr="00535B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80" w:type="dxa"/>
            <w:tcBorders>
              <w:top w:val="nil"/>
              <w:left w:val="nil"/>
              <w:bottom w:val="nil"/>
              <w:right w:val="nil"/>
            </w:tcBorders>
            <w:shd w:val="clear" w:color="auto" w:fill="auto"/>
            <w:noWrap/>
            <w:vAlign w:val="center"/>
            <w:hideMark/>
          </w:tcPr>
          <w:p w:rsidR="00F057EE" w:rsidRPr="00F057EE" w:rsidRDefault="00F057EE" w:rsidP="00F057EE">
            <w:pPr>
              <w:jc w:val="center"/>
              <w:rPr>
                <w:rFonts w:ascii="Calibri" w:hAnsi="Calibri"/>
                <w:i w:val="0"/>
                <w:color w:val="000000"/>
                <w:sz w:val="22"/>
                <w:szCs w:val="22"/>
              </w:rPr>
            </w:pPr>
            <w:r w:rsidRPr="00F057EE">
              <w:rPr>
                <w:rFonts w:ascii="Calibri" w:hAnsi="Calibri"/>
                <w:i w:val="0"/>
                <w:color w:val="000000"/>
                <w:sz w:val="22"/>
                <w:szCs w:val="22"/>
              </w:rPr>
              <w:t>Age</w:t>
            </w:r>
          </w:p>
        </w:tc>
        <w:tc>
          <w:tcPr>
            <w:tcW w:w="1193" w:type="dxa"/>
            <w:tcBorders>
              <w:top w:val="nil"/>
              <w:left w:val="nil"/>
              <w:bottom w:val="nil"/>
              <w:right w:val="nil"/>
            </w:tcBorders>
            <w:shd w:val="clear" w:color="auto" w:fill="auto"/>
            <w:noWrap/>
            <w:vAlign w:val="center"/>
            <w:hideMark/>
          </w:tcPr>
          <w:p w:rsidR="00F057EE" w:rsidRPr="00F057EE" w:rsidRDefault="00F057EE" w:rsidP="00F057EE">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0.00004</w:t>
            </w:r>
          </w:p>
        </w:tc>
        <w:tc>
          <w:tcPr>
            <w:tcW w:w="1194" w:type="dxa"/>
            <w:tcBorders>
              <w:top w:val="nil"/>
              <w:left w:val="nil"/>
              <w:bottom w:val="nil"/>
              <w:right w:val="nil"/>
            </w:tcBorders>
            <w:shd w:val="clear" w:color="auto" w:fill="auto"/>
            <w:noWrap/>
            <w:vAlign w:val="center"/>
            <w:hideMark/>
          </w:tcPr>
          <w:p w:rsidR="00F057EE" w:rsidRPr="00F057EE" w:rsidRDefault="00F057EE" w:rsidP="00F057EE">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0.00001</w:t>
            </w:r>
          </w:p>
        </w:tc>
        <w:tc>
          <w:tcPr>
            <w:tcW w:w="1194" w:type="dxa"/>
            <w:tcBorders>
              <w:top w:val="nil"/>
              <w:left w:val="nil"/>
              <w:bottom w:val="nil"/>
              <w:right w:val="nil"/>
            </w:tcBorders>
            <w:shd w:val="clear" w:color="auto" w:fill="auto"/>
            <w:noWrap/>
            <w:hideMark/>
          </w:tcPr>
          <w:p w:rsidR="00F057EE" w:rsidRPr="00F057EE" w:rsidRDefault="00F057EE" w:rsidP="00F057EE">
            <w:pPr>
              <w:cnfStyle w:val="000000100000" w:firstRow="0" w:lastRow="0" w:firstColumn="0" w:lastColumn="0" w:oddVBand="0" w:evenVBand="0" w:oddHBand="1"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1.28E-04</w:t>
            </w:r>
          </w:p>
        </w:tc>
      </w:tr>
      <w:tr w:rsidR="00F057EE" w:rsidRPr="00BC5D53" w:rsidTr="00535B0A">
        <w:trPr>
          <w:trHeight w:val="315"/>
          <w:jc w:val="center"/>
        </w:trPr>
        <w:tc>
          <w:tcPr>
            <w:cnfStyle w:val="001000000000" w:firstRow="0" w:lastRow="0" w:firstColumn="1" w:lastColumn="0" w:oddVBand="0" w:evenVBand="0" w:oddHBand="0" w:evenHBand="0" w:firstRowFirstColumn="0" w:firstRowLastColumn="0" w:lastRowFirstColumn="0" w:lastRowLastColumn="0"/>
            <w:tcW w:w="1180" w:type="dxa"/>
            <w:tcBorders>
              <w:top w:val="nil"/>
              <w:left w:val="nil"/>
              <w:bottom w:val="nil"/>
              <w:right w:val="nil"/>
            </w:tcBorders>
            <w:shd w:val="clear" w:color="auto" w:fill="auto"/>
            <w:noWrap/>
            <w:vAlign w:val="center"/>
          </w:tcPr>
          <w:p w:rsidR="00F057EE" w:rsidRPr="00F057EE" w:rsidRDefault="00F057EE" w:rsidP="00F057EE">
            <w:pPr>
              <w:jc w:val="center"/>
              <w:rPr>
                <w:rFonts w:ascii="Calibri" w:hAnsi="Calibri"/>
                <w:i w:val="0"/>
                <w:color w:val="000000"/>
                <w:sz w:val="22"/>
                <w:szCs w:val="22"/>
              </w:rPr>
            </w:pPr>
            <w:proofErr w:type="spellStart"/>
            <w:r w:rsidRPr="00F057EE">
              <w:rPr>
                <w:rFonts w:ascii="Calibri" w:hAnsi="Calibri"/>
                <w:i w:val="0"/>
                <w:color w:val="000000"/>
                <w:sz w:val="22"/>
                <w:szCs w:val="22"/>
              </w:rPr>
              <w:t>sexmale</w:t>
            </w:r>
            <w:proofErr w:type="spellEnd"/>
          </w:p>
        </w:tc>
        <w:tc>
          <w:tcPr>
            <w:tcW w:w="1193" w:type="dxa"/>
            <w:tcBorders>
              <w:top w:val="nil"/>
              <w:left w:val="nil"/>
              <w:bottom w:val="nil"/>
              <w:right w:val="nil"/>
            </w:tcBorders>
            <w:shd w:val="clear" w:color="auto" w:fill="auto"/>
            <w:noWrap/>
            <w:vAlign w:val="center"/>
          </w:tcPr>
          <w:p w:rsidR="00F057EE" w:rsidRPr="00F057EE" w:rsidRDefault="00F057EE" w:rsidP="00F057EE">
            <w:pPr>
              <w:jc w:val="center"/>
              <w:cnfStyle w:val="000000000000" w:firstRow="0" w:lastRow="0" w:firstColumn="0" w:lastColumn="0" w:oddVBand="0" w:evenVBand="0" w:oddHBand="0"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0.00073</w:t>
            </w:r>
          </w:p>
        </w:tc>
        <w:tc>
          <w:tcPr>
            <w:tcW w:w="1194" w:type="dxa"/>
            <w:tcBorders>
              <w:top w:val="nil"/>
              <w:left w:val="nil"/>
              <w:bottom w:val="nil"/>
              <w:right w:val="nil"/>
            </w:tcBorders>
            <w:shd w:val="clear" w:color="auto" w:fill="auto"/>
            <w:noWrap/>
            <w:vAlign w:val="center"/>
          </w:tcPr>
          <w:p w:rsidR="00F057EE" w:rsidRPr="00F057EE" w:rsidRDefault="00F057EE" w:rsidP="00F057EE">
            <w:pPr>
              <w:jc w:val="center"/>
              <w:cnfStyle w:val="000000000000" w:firstRow="0" w:lastRow="0" w:firstColumn="0" w:lastColumn="0" w:oddVBand="0" w:evenVBand="0" w:oddHBand="0"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0.00029</w:t>
            </w:r>
          </w:p>
        </w:tc>
        <w:tc>
          <w:tcPr>
            <w:tcW w:w="1194" w:type="dxa"/>
            <w:tcBorders>
              <w:top w:val="nil"/>
              <w:left w:val="nil"/>
              <w:bottom w:val="nil"/>
              <w:right w:val="nil"/>
            </w:tcBorders>
            <w:shd w:val="clear" w:color="auto" w:fill="auto"/>
            <w:noWrap/>
          </w:tcPr>
          <w:p w:rsidR="00F057EE" w:rsidRPr="00F057EE" w:rsidRDefault="00F057EE" w:rsidP="00F057EE">
            <w:pPr>
              <w:cnfStyle w:val="000000000000" w:firstRow="0" w:lastRow="0" w:firstColumn="0" w:lastColumn="0" w:oddVBand="0" w:evenVBand="0" w:oddHBand="0"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1.25E-02</w:t>
            </w:r>
          </w:p>
        </w:tc>
      </w:tr>
      <w:tr w:rsidR="00F057EE" w:rsidRPr="00BC5D53" w:rsidTr="00535B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80" w:type="dxa"/>
            <w:tcBorders>
              <w:top w:val="nil"/>
              <w:left w:val="nil"/>
              <w:bottom w:val="nil"/>
              <w:right w:val="nil"/>
            </w:tcBorders>
            <w:shd w:val="clear" w:color="auto" w:fill="auto"/>
            <w:noWrap/>
            <w:vAlign w:val="center"/>
          </w:tcPr>
          <w:p w:rsidR="00F057EE" w:rsidRPr="00F057EE" w:rsidRDefault="00F057EE" w:rsidP="00F057EE">
            <w:pPr>
              <w:jc w:val="center"/>
              <w:rPr>
                <w:rFonts w:ascii="Calibri" w:hAnsi="Calibri"/>
                <w:i w:val="0"/>
                <w:color w:val="000000"/>
                <w:sz w:val="22"/>
                <w:szCs w:val="22"/>
              </w:rPr>
            </w:pPr>
            <w:proofErr w:type="spellStart"/>
            <w:r w:rsidRPr="00F057EE">
              <w:rPr>
                <w:rFonts w:ascii="Calibri" w:hAnsi="Calibri"/>
                <w:i w:val="0"/>
                <w:color w:val="000000"/>
                <w:sz w:val="22"/>
                <w:szCs w:val="22"/>
              </w:rPr>
              <w:t>ldl</w:t>
            </w:r>
            <w:proofErr w:type="spellEnd"/>
          </w:p>
        </w:tc>
        <w:tc>
          <w:tcPr>
            <w:tcW w:w="1193" w:type="dxa"/>
            <w:tcBorders>
              <w:top w:val="nil"/>
              <w:left w:val="nil"/>
              <w:bottom w:val="nil"/>
              <w:right w:val="nil"/>
            </w:tcBorders>
            <w:shd w:val="clear" w:color="auto" w:fill="auto"/>
            <w:noWrap/>
            <w:vAlign w:val="center"/>
          </w:tcPr>
          <w:p w:rsidR="00F057EE" w:rsidRPr="00F057EE" w:rsidRDefault="00F057EE" w:rsidP="00F057EE">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0.00063</w:t>
            </w:r>
          </w:p>
        </w:tc>
        <w:tc>
          <w:tcPr>
            <w:tcW w:w="1194" w:type="dxa"/>
            <w:tcBorders>
              <w:top w:val="nil"/>
              <w:left w:val="nil"/>
              <w:bottom w:val="nil"/>
              <w:right w:val="nil"/>
            </w:tcBorders>
            <w:shd w:val="clear" w:color="auto" w:fill="auto"/>
            <w:noWrap/>
            <w:vAlign w:val="center"/>
          </w:tcPr>
          <w:p w:rsidR="00F057EE" w:rsidRPr="00F057EE" w:rsidRDefault="00F057EE" w:rsidP="00F057EE">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0.00022</w:t>
            </w:r>
          </w:p>
        </w:tc>
        <w:tc>
          <w:tcPr>
            <w:tcW w:w="1194" w:type="dxa"/>
            <w:tcBorders>
              <w:top w:val="nil"/>
              <w:left w:val="nil"/>
              <w:bottom w:val="nil"/>
              <w:right w:val="nil"/>
            </w:tcBorders>
            <w:shd w:val="clear" w:color="auto" w:fill="auto"/>
            <w:noWrap/>
          </w:tcPr>
          <w:p w:rsidR="00F057EE" w:rsidRPr="00F057EE" w:rsidRDefault="00F057EE" w:rsidP="00F057EE">
            <w:pPr>
              <w:cnfStyle w:val="000000100000" w:firstRow="0" w:lastRow="0" w:firstColumn="0" w:lastColumn="0" w:oddVBand="0" w:evenVBand="0" w:oddHBand="1"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3.83E-03</w:t>
            </w:r>
          </w:p>
        </w:tc>
      </w:tr>
      <w:tr w:rsidR="00F057EE" w:rsidRPr="00BC5D53" w:rsidTr="00535B0A">
        <w:trPr>
          <w:trHeight w:val="315"/>
          <w:jc w:val="center"/>
        </w:trPr>
        <w:tc>
          <w:tcPr>
            <w:cnfStyle w:val="001000000000" w:firstRow="0" w:lastRow="0" w:firstColumn="1" w:lastColumn="0" w:oddVBand="0" w:evenVBand="0" w:oddHBand="0" w:evenHBand="0" w:firstRowFirstColumn="0" w:firstRowLastColumn="0" w:lastRowFirstColumn="0" w:lastRowLastColumn="0"/>
            <w:tcW w:w="1180" w:type="dxa"/>
            <w:tcBorders>
              <w:top w:val="nil"/>
              <w:left w:val="nil"/>
              <w:right w:val="nil"/>
            </w:tcBorders>
            <w:shd w:val="clear" w:color="auto" w:fill="auto"/>
            <w:noWrap/>
            <w:vAlign w:val="center"/>
          </w:tcPr>
          <w:p w:rsidR="00F057EE" w:rsidRPr="00F057EE" w:rsidRDefault="00F057EE" w:rsidP="00F057EE">
            <w:pPr>
              <w:jc w:val="center"/>
              <w:rPr>
                <w:rFonts w:ascii="Calibri" w:hAnsi="Calibri"/>
                <w:i w:val="0"/>
                <w:color w:val="000000"/>
                <w:sz w:val="22"/>
                <w:szCs w:val="22"/>
              </w:rPr>
            </w:pPr>
            <w:proofErr w:type="spellStart"/>
            <w:r w:rsidRPr="00F057EE">
              <w:rPr>
                <w:rFonts w:ascii="Calibri" w:hAnsi="Calibri"/>
                <w:i w:val="0"/>
                <w:color w:val="000000"/>
                <w:sz w:val="22"/>
                <w:szCs w:val="22"/>
              </w:rPr>
              <w:t>tcho</w:t>
            </w:r>
            <w:proofErr w:type="spellEnd"/>
          </w:p>
        </w:tc>
        <w:tc>
          <w:tcPr>
            <w:tcW w:w="1193" w:type="dxa"/>
            <w:tcBorders>
              <w:top w:val="nil"/>
              <w:left w:val="nil"/>
              <w:right w:val="nil"/>
            </w:tcBorders>
            <w:shd w:val="clear" w:color="auto" w:fill="auto"/>
            <w:noWrap/>
            <w:vAlign w:val="center"/>
          </w:tcPr>
          <w:p w:rsidR="00F057EE" w:rsidRPr="00F057EE" w:rsidRDefault="00F057EE" w:rsidP="00F057EE">
            <w:pPr>
              <w:jc w:val="center"/>
              <w:cnfStyle w:val="000000000000" w:firstRow="0" w:lastRow="0" w:firstColumn="0" w:lastColumn="0" w:oddVBand="0" w:evenVBand="0" w:oddHBand="0"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-0.00037</w:t>
            </w:r>
          </w:p>
        </w:tc>
        <w:tc>
          <w:tcPr>
            <w:tcW w:w="1194" w:type="dxa"/>
            <w:tcBorders>
              <w:top w:val="nil"/>
              <w:left w:val="nil"/>
              <w:right w:val="nil"/>
            </w:tcBorders>
            <w:shd w:val="clear" w:color="auto" w:fill="auto"/>
            <w:noWrap/>
            <w:vAlign w:val="center"/>
          </w:tcPr>
          <w:p w:rsidR="00F057EE" w:rsidRPr="00F057EE" w:rsidRDefault="00F057EE" w:rsidP="00F057EE">
            <w:pPr>
              <w:jc w:val="center"/>
              <w:cnfStyle w:val="000000000000" w:firstRow="0" w:lastRow="0" w:firstColumn="0" w:lastColumn="0" w:oddVBand="0" w:evenVBand="0" w:oddHBand="0"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0.00019</w:t>
            </w:r>
          </w:p>
        </w:tc>
        <w:tc>
          <w:tcPr>
            <w:tcW w:w="1194" w:type="dxa"/>
            <w:tcBorders>
              <w:top w:val="nil"/>
              <w:left w:val="nil"/>
              <w:right w:val="nil"/>
            </w:tcBorders>
            <w:shd w:val="clear" w:color="auto" w:fill="auto"/>
            <w:noWrap/>
          </w:tcPr>
          <w:p w:rsidR="00F057EE" w:rsidRPr="00F057EE" w:rsidRDefault="00F057EE" w:rsidP="00F057EE">
            <w:pPr>
              <w:cnfStyle w:val="000000000000" w:firstRow="0" w:lastRow="0" w:firstColumn="0" w:lastColumn="0" w:oddVBand="0" w:evenVBand="0" w:oddHBand="0"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5.28E-02</w:t>
            </w:r>
          </w:p>
        </w:tc>
      </w:tr>
      <w:tr w:rsidR="00F057EE" w:rsidRPr="00BC5D53" w:rsidTr="00535B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80" w:type="dxa"/>
            <w:tcBorders>
              <w:top w:val="nil"/>
              <w:left w:val="nil"/>
              <w:bottom w:val="single" w:sz="4" w:space="0" w:color="auto"/>
              <w:right w:val="nil"/>
            </w:tcBorders>
            <w:shd w:val="clear" w:color="auto" w:fill="auto"/>
            <w:noWrap/>
            <w:vAlign w:val="center"/>
          </w:tcPr>
          <w:p w:rsidR="00F057EE" w:rsidRPr="00F057EE" w:rsidRDefault="00F057EE" w:rsidP="00F057EE">
            <w:pPr>
              <w:jc w:val="center"/>
              <w:rPr>
                <w:rFonts w:ascii="Calibri" w:hAnsi="Calibri"/>
                <w:i w:val="0"/>
                <w:color w:val="000000"/>
                <w:sz w:val="22"/>
                <w:szCs w:val="22"/>
              </w:rPr>
            </w:pPr>
            <w:proofErr w:type="spellStart"/>
            <w:r w:rsidRPr="00F057EE">
              <w:rPr>
                <w:rFonts w:ascii="Calibri" w:hAnsi="Calibri"/>
                <w:i w:val="0"/>
                <w:color w:val="000000"/>
                <w:sz w:val="22"/>
                <w:szCs w:val="22"/>
              </w:rPr>
              <w:t>bmi</w:t>
            </w:r>
            <w:proofErr w:type="spellEnd"/>
          </w:p>
        </w:tc>
        <w:tc>
          <w:tcPr>
            <w:tcW w:w="1193" w:type="dxa"/>
            <w:tcBorders>
              <w:top w:val="nil"/>
              <w:left w:val="nil"/>
              <w:bottom w:val="single" w:sz="4" w:space="0" w:color="auto"/>
              <w:right w:val="nil"/>
            </w:tcBorders>
            <w:shd w:val="clear" w:color="auto" w:fill="auto"/>
            <w:noWrap/>
            <w:vAlign w:val="center"/>
          </w:tcPr>
          <w:p w:rsidR="00F057EE" w:rsidRPr="00F057EE" w:rsidRDefault="00F057EE" w:rsidP="00F057EE">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-0.00008</w:t>
            </w:r>
          </w:p>
        </w:tc>
        <w:tc>
          <w:tcPr>
            <w:tcW w:w="1194" w:type="dxa"/>
            <w:tcBorders>
              <w:top w:val="nil"/>
              <w:left w:val="nil"/>
              <w:bottom w:val="single" w:sz="4" w:space="0" w:color="auto"/>
              <w:right w:val="nil"/>
            </w:tcBorders>
            <w:shd w:val="clear" w:color="auto" w:fill="auto"/>
            <w:noWrap/>
            <w:vAlign w:val="center"/>
          </w:tcPr>
          <w:p w:rsidR="00F057EE" w:rsidRPr="00F057EE" w:rsidRDefault="00F057EE" w:rsidP="00F057EE">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0.00004</w:t>
            </w:r>
          </w:p>
        </w:tc>
        <w:tc>
          <w:tcPr>
            <w:tcW w:w="1194" w:type="dxa"/>
            <w:tcBorders>
              <w:top w:val="nil"/>
              <w:left w:val="nil"/>
              <w:bottom w:val="single" w:sz="4" w:space="0" w:color="auto"/>
              <w:right w:val="nil"/>
            </w:tcBorders>
            <w:shd w:val="clear" w:color="auto" w:fill="auto"/>
            <w:noWrap/>
          </w:tcPr>
          <w:p w:rsidR="00F057EE" w:rsidRPr="00F057EE" w:rsidRDefault="00F057EE" w:rsidP="00F057EE">
            <w:pPr>
              <w:cnfStyle w:val="000000100000" w:firstRow="0" w:lastRow="0" w:firstColumn="0" w:lastColumn="0" w:oddVBand="0" w:evenVBand="0" w:oddHBand="1" w:evenHBand="0" w:firstRowFirstColumn="0" w:firstRowLastColumn="0" w:lastRowFirstColumn="0" w:lastRowLastColumn="0"/>
              <w:rPr>
                <w:rFonts w:ascii="Calibri" w:eastAsiaTheme="majorEastAsia" w:hAnsi="Calibri"/>
                <w:iCs/>
                <w:color w:val="000000"/>
                <w:sz w:val="22"/>
                <w:szCs w:val="22"/>
              </w:rPr>
            </w:pPr>
            <w:r w:rsidRPr="00F057EE">
              <w:rPr>
                <w:rFonts w:ascii="Calibri" w:eastAsiaTheme="majorEastAsia" w:hAnsi="Calibri"/>
                <w:iCs/>
                <w:color w:val="000000"/>
                <w:sz w:val="22"/>
                <w:szCs w:val="22"/>
              </w:rPr>
              <w:t>6.78E-02</w:t>
            </w:r>
          </w:p>
        </w:tc>
      </w:tr>
    </w:tbl>
    <w:p w:rsidR="00C52598" w:rsidRDefault="00C52598" w:rsidP="00C52598"/>
    <w:p w:rsidR="00C52598" w:rsidRDefault="00C52598" w:rsidP="00C52598">
      <w:pPr>
        <w:pStyle w:val="ListParagraph"/>
        <w:numPr>
          <w:ilvl w:val="0"/>
          <w:numId w:val="3"/>
        </w:numPr>
        <w:ind w:left="426"/>
      </w:pPr>
      <w:r>
        <w:t xml:space="preserve">Model fitted in </w:t>
      </w:r>
      <w:r w:rsidR="00EE6D7E">
        <w:t>b</w:t>
      </w:r>
      <w:r>
        <w:t xml:space="preserve"> is more appropriate than that in </w:t>
      </w:r>
      <w:r w:rsidR="00EE6D7E">
        <w:t>a</w:t>
      </w:r>
      <w:r>
        <w:t>.</w:t>
      </w:r>
    </w:p>
    <w:p w:rsidR="00C52598" w:rsidRDefault="00C52598" w:rsidP="00C52598">
      <w:pPr>
        <w:pStyle w:val="ListParagraph"/>
        <w:ind w:left="426"/>
      </w:pPr>
    </w:p>
    <w:p w:rsidR="00C52598" w:rsidRDefault="00C52598" w:rsidP="00C52598">
      <w:pPr>
        <w:pStyle w:val="ListParagraph"/>
        <w:ind w:left="426"/>
      </w:pPr>
      <w:r>
        <w:t>The adjusted R squared for the model fitted in c is ~49.4%. It is greater than the adjusted R square for the model fitted in b, which is ~47.6%. The model in c explains more variance than model in b does.</w:t>
      </w:r>
    </w:p>
    <w:p w:rsidR="00C52598" w:rsidRDefault="00C52598" w:rsidP="00C52598">
      <w:pPr>
        <w:pStyle w:val="ListParagraph"/>
        <w:ind w:left="426"/>
      </w:pPr>
    </w:p>
    <w:p w:rsidR="00C52598" w:rsidRDefault="00C52598" w:rsidP="00C52598">
      <w:pPr>
        <w:pStyle w:val="ListParagraph"/>
        <w:ind w:left="426"/>
      </w:pPr>
      <w:r>
        <w:t xml:space="preserve">Moreover, the diagnostic analysis in </w:t>
      </w:r>
      <w:r w:rsidR="00EE6D7E">
        <w:t>a</w:t>
      </w:r>
      <w:r>
        <w:t xml:space="preserve"> </w:t>
      </w:r>
      <w:proofErr w:type="gramStart"/>
      <w:r>
        <w:t>reveals</w:t>
      </w:r>
      <w:proofErr w:type="gramEnd"/>
      <w:r>
        <w:t xml:space="preserve"> the normality and homogeneity assumption are violated. After the data transformation, the model in c results residuals much closer to be normally distributed (Figure </w:t>
      </w:r>
      <w:r w:rsidR="004B5243">
        <w:t>4</w:t>
      </w:r>
      <w:r>
        <w:t xml:space="preserve">b). The change of the residuals variance with the fitted value is less compared with model in </w:t>
      </w:r>
      <w:r w:rsidR="00EE6D7E">
        <w:t>a</w:t>
      </w:r>
      <w:r>
        <w:t xml:space="preserve"> (Figure </w:t>
      </w:r>
      <w:r w:rsidR="004B5243">
        <w:t>4</w:t>
      </w:r>
      <w:r>
        <w:t xml:space="preserve">a and </w:t>
      </w:r>
      <w:r w:rsidR="004B5243">
        <w:t>4</w:t>
      </w:r>
      <w:r>
        <w:t>c). The model in c also reduces the Cook’s distance of some influential observations, such as the 33</w:t>
      </w:r>
      <w:r w:rsidRPr="00AF7CD2">
        <w:rPr>
          <w:vertAlign w:val="superscript"/>
        </w:rPr>
        <w:t>rd</w:t>
      </w:r>
      <w:r>
        <w:t>, 232</w:t>
      </w:r>
      <w:r w:rsidRPr="00AF7CD2">
        <w:rPr>
          <w:vertAlign w:val="superscript"/>
        </w:rPr>
        <w:t>nd</w:t>
      </w:r>
      <w:r>
        <w:t xml:space="preserve"> observations and so on. Consequently, the model in c is more appropriate than model in b in terms of variance explained and satisfying model assumption.</w:t>
      </w:r>
    </w:p>
    <w:p w:rsidR="00C52598" w:rsidRDefault="00B56D99" w:rsidP="00C52598">
      <w:pPr>
        <w:pStyle w:val="ListParagraph"/>
        <w:ind w:left="426"/>
        <w:jc w:val="center"/>
      </w:pPr>
      <w:r>
        <w:rPr>
          <w:noProof/>
        </w:rPr>
        <w:lastRenderedPageBreak/>
        <w:drawing>
          <wp:inline distT="0" distB="0" distL="0" distR="0">
            <wp:extent cx="5943600" cy="6029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029325"/>
                    </a:xfrm>
                    <a:prstGeom prst="rect">
                      <a:avLst/>
                    </a:prstGeom>
                    <a:noFill/>
                    <a:ln>
                      <a:noFill/>
                    </a:ln>
                  </pic:spPr>
                </pic:pic>
              </a:graphicData>
            </a:graphic>
          </wp:inline>
        </w:drawing>
      </w:r>
    </w:p>
    <w:p w:rsidR="005C2E99" w:rsidRDefault="00C52598" w:rsidP="00F82562">
      <w:pPr>
        <w:ind w:left="851"/>
      </w:pPr>
      <w:r w:rsidRPr="00322199">
        <w:rPr>
          <w:b/>
          <w:sz w:val="22"/>
        </w:rPr>
        <w:t xml:space="preserve">Figure </w:t>
      </w:r>
      <w:r w:rsidR="00F82562">
        <w:rPr>
          <w:b/>
          <w:sz w:val="22"/>
        </w:rPr>
        <w:t>4</w:t>
      </w:r>
      <w:r>
        <w:rPr>
          <w:b/>
          <w:sz w:val="22"/>
        </w:rPr>
        <w:t>. Diagnostic plot of the data transformed model: a) residuals vs. fitted value; b) normal quantile plot of the standardized residuals; c) standardized residuals vs. fitted value; d) Cook’s distance of the observations</w:t>
      </w:r>
      <w:bookmarkStart w:id="0" w:name="_GoBack"/>
      <w:bookmarkEnd w:id="0"/>
    </w:p>
    <w:sectPr w:rsidR="005C2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A00C8"/>
    <w:multiLevelType w:val="hybridMultilevel"/>
    <w:tmpl w:val="6268B434"/>
    <w:lvl w:ilvl="0" w:tplc="AB6A7E9E">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A176E"/>
    <w:multiLevelType w:val="hybridMultilevel"/>
    <w:tmpl w:val="44B42202"/>
    <w:lvl w:ilvl="0" w:tplc="2F14631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D7A6B"/>
    <w:multiLevelType w:val="hybridMultilevel"/>
    <w:tmpl w:val="D14A7EBE"/>
    <w:lvl w:ilvl="0" w:tplc="BDC48A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98"/>
    <w:rsid w:val="00163BE4"/>
    <w:rsid w:val="004B5243"/>
    <w:rsid w:val="005C2E99"/>
    <w:rsid w:val="00615083"/>
    <w:rsid w:val="00B1592A"/>
    <w:rsid w:val="00B56D99"/>
    <w:rsid w:val="00C52598"/>
    <w:rsid w:val="00DD7DCE"/>
    <w:rsid w:val="00EE6D7E"/>
    <w:rsid w:val="00F057EE"/>
    <w:rsid w:val="00F82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22C6"/>
  <w15:chartTrackingRefBased/>
  <w15:docId w15:val="{E3A33F95-0911-4315-AC18-1B2ED337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598"/>
    <w:pPr>
      <w:spacing w:after="0" w:line="240" w:lineRule="auto"/>
    </w:pPr>
    <w:rPr>
      <w:rFonts w:ascii="Times New Roman" w:hAnsi="Times New Roman" w:cs="Times New Roman"/>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98"/>
    <w:pPr>
      <w:ind w:left="720"/>
      <w:contextualSpacing/>
    </w:pPr>
  </w:style>
  <w:style w:type="table" w:styleId="PlainTable3">
    <w:name w:val="Plain Table 3"/>
    <w:basedOn w:val="TableNormal"/>
    <w:uiPriority w:val="43"/>
    <w:rsid w:val="00C525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C52598"/>
    <w:pPr>
      <w:spacing w:after="0" w:line="240" w:lineRule="auto"/>
    </w:pPr>
    <w:rPr>
      <w:rFonts w:eastAsiaTheme="minorHAns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Chao   (HSC)</dc:creator>
  <cp:keywords/>
  <dc:description/>
  <cp:lastModifiedBy>Xu, Chao   (HSC)</cp:lastModifiedBy>
  <cp:revision>7</cp:revision>
  <dcterms:created xsi:type="dcterms:W3CDTF">2021-02-26T05:59:00Z</dcterms:created>
  <dcterms:modified xsi:type="dcterms:W3CDTF">2021-02-27T06:06:00Z</dcterms:modified>
</cp:coreProperties>
</file>